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C683" w14:textId="77777777" w:rsidR="00FF5831" w:rsidRPr="006C7046" w:rsidRDefault="00FF5831" w:rsidP="00FF5831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2299777"/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>OPEN ELECTIVE-5</w:t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>3E’s-Energy, Environment and Economics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FF5831" w:rsidRPr="006C7046" w14:paraId="2E1A6E4E" w14:textId="77777777" w:rsidTr="0015096E">
        <w:tc>
          <w:tcPr>
            <w:tcW w:w="4502" w:type="dxa"/>
          </w:tcPr>
          <w:p w14:paraId="32046C21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14" w:type="dxa"/>
          </w:tcPr>
          <w:p w14:paraId="6EB4EDF9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F5831" w:rsidRPr="006C7046" w14:paraId="1C4A2A5E" w14:textId="77777777" w:rsidTr="0015096E">
        <w:tc>
          <w:tcPr>
            <w:tcW w:w="4502" w:type="dxa"/>
          </w:tcPr>
          <w:p w14:paraId="4706821F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14" w:type="dxa"/>
          </w:tcPr>
          <w:p w14:paraId="5FBACCA8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CHOE-V</w:t>
            </w:r>
          </w:p>
        </w:tc>
      </w:tr>
      <w:tr w:rsidR="00FF5831" w:rsidRPr="006C7046" w14:paraId="4A7A763B" w14:textId="77777777" w:rsidTr="0015096E">
        <w:tc>
          <w:tcPr>
            <w:tcW w:w="4502" w:type="dxa"/>
          </w:tcPr>
          <w:p w14:paraId="644809C0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14" w:type="dxa"/>
          </w:tcPr>
          <w:p w14:paraId="3AAAEE08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2299557"/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3E’s-Energy, Environment and Economics</w:t>
            </w:r>
            <w:bookmarkEnd w:id="1"/>
          </w:p>
        </w:tc>
      </w:tr>
      <w:tr w:rsidR="00FF5831" w:rsidRPr="006C7046" w14:paraId="115BAF79" w14:textId="77777777" w:rsidTr="0015096E">
        <w:tc>
          <w:tcPr>
            <w:tcW w:w="4502" w:type="dxa"/>
          </w:tcPr>
          <w:p w14:paraId="5716A0A8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teaching hours per week</w:t>
            </w:r>
          </w:p>
        </w:tc>
        <w:tc>
          <w:tcPr>
            <w:tcW w:w="4514" w:type="dxa"/>
          </w:tcPr>
          <w:p w14:paraId="1A1E241A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831" w:rsidRPr="006C7046" w14:paraId="52B6A31A" w14:textId="77777777" w:rsidTr="0015096E">
        <w:tc>
          <w:tcPr>
            <w:tcW w:w="4502" w:type="dxa"/>
          </w:tcPr>
          <w:p w14:paraId="05676703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Total number of teaching hours per semester</w:t>
            </w:r>
          </w:p>
        </w:tc>
        <w:tc>
          <w:tcPr>
            <w:tcW w:w="4514" w:type="dxa"/>
          </w:tcPr>
          <w:p w14:paraId="6AE79E73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F5831" w:rsidRPr="006C7046" w14:paraId="76310453" w14:textId="77777777" w:rsidTr="0015096E">
        <w:tc>
          <w:tcPr>
            <w:tcW w:w="4502" w:type="dxa"/>
          </w:tcPr>
          <w:p w14:paraId="439C0A11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14" w:type="dxa"/>
          </w:tcPr>
          <w:p w14:paraId="543AFE0C" w14:textId="77777777" w:rsidR="00FF5831" w:rsidRPr="006C7046" w:rsidRDefault="00FF583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17FC88E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bookmarkEnd w:id="0"/>
    <w:p w14:paraId="2E3DD8B6" w14:textId="77777777" w:rsidR="00FF5831" w:rsidRPr="006C7046" w:rsidRDefault="00FF5831" w:rsidP="00FF583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INTRODUCTION: ENERGY BASICS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5 h</w:t>
      </w:r>
    </w:p>
    <w:p w14:paraId="15AF91E4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Energy: units and measurement. A brief overview about the types of energy, conventional and non-conventional sources of energy, global energy resources and reserves, production and classification.  </w:t>
      </w:r>
    </w:p>
    <w:p w14:paraId="0B7C8E28" w14:textId="77777777" w:rsidR="00FF5831" w:rsidRPr="006C7046" w:rsidRDefault="00FF5831" w:rsidP="00FF583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RUNNING OUT OF ENERGY - THE NEW JURASSIC: NON-RENEWABLE SOURCES AND ENVIRONMENT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5 h</w:t>
      </w:r>
    </w:p>
    <w:p w14:paraId="44663C18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Availability and economics of the global non-renewable energy resources: fossil fuels, natural gas, minerals and nuclear fuels, expert projections for the life time of these resources. consequences of these resources on the environment. (</w:t>
      </w:r>
      <w:proofErr w:type="gramStart"/>
      <w:r w:rsidRPr="006C7046">
        <w:rPr>
          <w:rFonts w:ascii="Times New Roman" w:hAnsi="Times New Roman" w:cs="Times New Roman"/>
          <w:sz w:val="24"/>
          <w:szCs w:val="24"/>
        </w:rPr>
        <w:t>benefits</w:t>
      </w:r>
      <w:proofErr w:type="gramEnd"/>
      <w:r w:rsidRPr="006C7046">
        <w:rPr>
          <w:rFonts w:ascii="Times New Roman" w:hAnsi="Times New Roman" w:cs="Times New Roman"/>
          <w:sz w:val="24"/>
          <w:szCs w:val="24"/>
        </w:rPr>
        <w:t xml:space="preserve"> of nuclear batteries to be added)</w:t>
      </w:r>
    </w:p>
    <w:p w14:paraId="211C3AF7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 nuclear batteries, fossil fuel and nuclear fuel accidents in the Indian (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Kalpakkam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) and global context (Chernobyl,</w:t>
      </w:r>
      <w:r w:rsidRPr="006C7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Fukushima Daiichi</w:t>
      </w:r>
      <w:r w:rsidRPr="006C7046">
        <w:rPr>
          <w:rFonts w:ascii="Times New Roman" w:hAnsi="Times New Roman" w:cs="Times New Roman"/>
          <w:sz w:val="24"/>
          <w:szCs w:val="24"/>
        </w:rPr>
        <w:t>)</w:t>
      </w:r>
    </w:p>
    <w:p w14:paraId="530ECBD4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E6365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RENEWABLE SOURCES: CLEAN AND GREEN ENERGY FOR A SUSTAINABLE WORLD  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9 h                        </w:t>
      </w:r>
    </w:p>
    <w:p w14:paraId="322822A9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046">
        <w:rPr>
          <w:rFonts w:ascii="Times New Roman" w:hAnsi="Times New Roman" w:cs="Times New Roman"/>
          <w:sz w:val="24"/>
          <w:szCs w:val="24"/>
        </w:rPr>
        <w:t>Renewable sources: solar, wind, bio, hydro, tidal, ocean benefits of this energy on the environment, the flow of energy in the ecological system.</w:t>
      </w:r>
      <w:r w:rsidRPr="006C70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48C688BB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0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Case Study</w:t>
      </w:r>
      <w:r w:rsidRPr="006C70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environmental and economic impact of the solar and wind power stations set up globally and in India </w:t>
      </w:r>
    </w:p>
    <w:p w14:paraId="037857E3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3AD04CCC" w14:textId="77777777" w:rsidR="00FF5831" w:rsidRPr="006C7046" w:rsidRDefault="00FF5831" w:rsidP="00FF583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0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MY CARBON FOOTPRINT: ENVIRONMENTAL EFFECTS       </w:t>
      </w:r>
      <w:r w:rsidRPr="006C70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 xml:space="preserve">14h                                  </w:t>
      </w:r>
      <w:r w:rsidRPr="006C70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  <w:t xml:space="preserve">            </w:t>
      </w:r>
    </w:p>
    <w:p w14:paraId="641F03D3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Definitions: carbon footprint, ecological footprint, carbon watch, carbon pricing and carbon tax. Major contributors to carbon footprint, environmental degradation and pollution.</w:t>
      </w:r>
    </w:p>
    <w:p w14:paraId="14E2AE11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0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Case study</w:t>
      </w:r>
      <w:r w:rsidRPr="006C7046">
        <w:rPr>
          <w:rFonts w:ascii="Times New Roman" w:eastAsia="Times New Roman" w:hAnsi="Times New Roman" w:cs="Times New Roman"/>
          <w:sz w:val="24"/>
          <w:szCs w:val="24"/>
          <w:lang w:eastAsia="en-IN"/>
        </w:rPr>
        <w:t>: calculation of carbon footprint in St. Joseph’s College and also in urban transport in India.</w:t>
      </w:r>
    </w:p>
    <w:p w14:paraId="573C71AE" w14:textId="77777777" w:rsidR="00FF5831" w:rsidRPr="006C7046" w:rsidRDefault="00FF5831" w:rsidP="00FF583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JOULES TO ₹:  ECONOMICS OF GREEN ENERGY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9 h</w:t>
      </w:r>
    </w:p>
    <w:p w14:paraId="44E20032" w14:textId="77777777" w:rsidR="00FF5831" w:rsidRPr="006C7046" w:rsidRDefault="00FF5831" w:rsidP="00FF5831">
      <w:pPr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0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Determinants of energy supply and demand, relationship between energy prices and economic growth. The economic benefits of clean energy initiatives. </w:t>
      </w:r>
    </w:p>
    <w:p w14:paraId="2D2E4BCB" w14:textId="77777777" w:rsidR="00FF5831" w:rsidRPr="006C7046" w:rsidRDefault="00FF5831" w:rsidP="00FF5831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>ase study</w:t>
      </w:r>
      <w:r w:rsidRPr="006C7046">
        <w:rPr>
          <w:rFonts w:ascii="Times New Roman" w:hAnsi="Times New Roman" w:cs="Times New Roman"/>
          <w:sz w:val="24"/>
          <w:szCs w:val="24"/>
        </w:rPr>
        <w:t>:</w:t>
      </w:r>
      <w:r w:rsidRPr="006C70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challenges for low-carbon project development;</w:t>
      </w:r>
      <w:r w:rsidRPr="006C7046">
        <w:rPr>
          <w:rFonts w:ascii="Times New Roman" w:hAnsi="Times New Roman" w:cs="Times New Roman"/>
          <w:sz w:val="24"/>
          <w:szCs w:val="24"/>
        </w:rPr>
        <w:t xml:space="preserve"> successful renewable energy projects in India. </w:t>
      </w:r>
    </w:p>
    <w:p w14:paraId="641E651D" w14:textId="77777777" w:rsidR="00FF5831" w:rsidRPr="006C7046" w:rsidRDefault="00FF5831" w:rsidP="00FF5831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19F67A" w14:textId="77777777" w:rsidR="00FF5831" w:rsidRPr="006C7046" w:rsidRDefault="00FF5831" w:rsidP="00FF5831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6811AA91" w14:textId="77777777" w:rsidR="00FF5831" w:rsidRPr="006C7046" w:rsidRDefault="00FF5831" w:rsidP="00FF5831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Kaltschmitt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. Wolfgang Streicher, Andreas Wiese, Renewable energy technologies, economics and environment, ISBN 978-3-540-70947-3 Springer Berlin Heidelberg New York. </w:t>
      </w:r>
    </w:p>
    <w:p w14:paraId="08C96D72" w14:textId="77777777" w:rsidR="00FF5831" w:rsidRPr="006C7046" w:rsidRDefault="00FF5831" w:rsidP="00FF5831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David Timmons, Jonathan M. Harris, and Brian Roach, The Economics of Renewable Energy, A GDAE Teaching Module on Social and Environmental Issues in Economics Global Development and Environment Institute Tufts University Medford, MA 02155. </w:t>
      </w:r>
      <w:hyperlink r:id="rId5" w:history="1">
        <w:r w:rsidRPr="006C7046">
          <w:rPr>
            <w:rStyle w:val="Hyperlink"/>
            <w:rFonts w:ascii="Times New Roman" w:hAnsi="Times New Roman" w:cs="Times New Roman"/>
            <w:sz w:val="24"/>
            <w:szCs w:val="24"/>
          </w:rPr>
          <w:t>http://ase.tufts.edu/gdaex</w:t>
        </w:r>
      </w:hyperlink>
    </w:p>
    <w:p w14:paraId="3278700D" w14:textId="77777777" w:rsidR="00FF5831" w:rsidRPr="006C7046" w:rsidRDefault="00FF5831" w:rsidP="00FF5831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NITI Aayog and Rocky Mountain Institute (RMI). Towards a Clean Energy Economy: Post-COVID-19 Opportunities for India’s Energy and Mobility Sectors, 2020.</w:t>
      </w:r>
    </w:p>
    <w:p w14:paraId="516F810E" w14:textId="77777777" w:rsidR="00FF5831" w:rsidRPr="006C7046" w:rsidRDefault="00FF5831" w:rsidP="00FF5831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Energy Economics, Peter M. Schwarz, Routledge, 2018.</w:t>
      </w:r>
    </w:p>
    <w:p w14:paraId="3DB6EA3A" w14:textId="77777777" w:rsidR="00FF5831" w:rsidRPr="006C7046" w:rsidRDefault="00FF5831" w:rsidP="00FF5831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Nishad P, Mohammed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Thanshayar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et.al., Carbon Footprint: A Case Study, SSRG International Journal of Civil Engineering (SSRG - IJCE) – Volume 5, Issue 5 – May 2018, ISSN: 2348 – 8352. www.internationaljournalssrg.org   </w:t>
      </w:r>
    </w:p>
    <w:p w14:paraId="2D447B61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DF694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96A66" w14:textId="77777777" w:rsidR="00FF5831" w:rsidRPr="006C7046" w:rsidRDefault="00FF5831" w:rsidP="00FF5831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04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28"/>
      </w:tblGrid>
      <w:tr w:rsidR="00FF5831" w:rsidRPr="006C7046" w14:paraId="04983B94" w14:textId="77777777" w:rsidTr="0015096E">
        <w:tc>
          <w:tcPr>
            <w:tcW w:w="9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E3B4B4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Formative Assessment (Internal assessment) Theory</w:t>
            </w:r>
          </w:p>
        </w:tc>
      </w:tr>
      <w:tr w:rsidR="00FF5831" w:rsidRPr="006C7046" w14:paraId="61379383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325C9A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Assessment Occasion/ type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1776DC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Weightage in Marks</w:t>
            </w:r>
          </w:p>
        </w:tc>
      </w:tr>
      <w:tr w:rsidR="00FF5831" w:rsidRPr="006C7046" w14:paraId="63EAE5F7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22EE45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Continuous evaluation and class test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1B9333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20</w:t>
            </w:r>
          </w:p>
        </w:tc>
      </w:tr>
      <w:tr w:rsidR="00FF5831" w:rsidRPr="006C7046" w14:paraId="5BD1A80F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8517C9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Seminars/Class work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EE58CE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FF5831" w:rsidRPr="006C7046" w14:paraId="329BCFA9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291D65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Assignments/Discussions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596C47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FF5831" w:rsidRPr="006C7046" w14:paraId="5E688760" w14:textId="77777777" w:rsidTr="0015096E">
        <w:trPr>
          <w:trHeight w:val="20"/>
        </w:trPr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7A6781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Total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8E182EC" w14:textId="77777777" w:rsidR="00FF5831" w:rsidRPr="006C7046" w:rsidRDefault="00FF583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40</w:t>
            </w:r>
          </w:p>
        </w:tc>
      </w:tr>
    </w:tbl>
    <w:p w14:paraId="6B1E6070" w14:textId="77777777" w:rsidR="00FF5831" w:rsidRPr="006C7046" w:rsidRDefault="00FF5831" w:rsidP="00FF5831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7669E7B" w14:textId="77777777" w:rsidR="00FF5831" w:rsidRPr="006C7046" w:rsidRDefault="00FF5831" w:rsidP="00FF58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7046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4A639F5F" w14:textId="77777777" w:rsidR="00111A72" w:rsidRDefault="00111A72"/>
    <w:sectPr w:rsidR="001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A58"/>
    <w:multiLevelType w:val="hybridMultilevel"/>
    <w:tmpl w:val="38D0F98A"/>
    <w:lvl w:ilvl="0" w:tplc="EDCAE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37E1C"/>
    <w:multiLevelType w:val="hybridMultilevel"/>
    <w:tmpl w:val="ACC811B6"/>
    <w:lvl w:ilvl="0" w:tplc="5900B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951679">
    <w:abstractNumId w:val="0"/>
  </w:num>
  <w:num w:numId="2" w16cid:durableId="121820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FA"/>
    <w:rsid w:val="00111A72"/>
    <w:rsid w:val="00E510FA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973E-D08C-4D96-B4A6-DA859DE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3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FF583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FF5831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e.tufts.edu/gda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S V</dc:creator>
  <cp:keywords/>
  <dc:description/>
  <cp:lastModifiedBy>Shobha S V</cp:lastModifiedBy>
  <cp:revision>2</cp:revision>
  <dcterms:created xsi:type="dcterms:W3CDTF">2022-05-28T04:02:00Z</dcterms:created>
  <dcterms:modified xsi:type="dcterms:W3CDTF">2022-05-28T04:03:00Z</dcterms:modified>
</cp:coreProperties>
</file>