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-711199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4381500</wp:posOffset>
                </wp:positionH>
                <wp:positionV relativeFrom="paragraph">
                  <wp:posOffset>-711199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 ADVERTISING AND PUBLIC RELATION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APR – 8222 Indian and Global Economy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THREE of the following in 150 words each.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(3x5=15)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Economics is both a science and an art. How do you justify this statement?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law of demand and illustrate it with a diagram.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Human Development Index (HDI).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were the advantages and disadvantages of the abolition of intermediaries under the land reforms?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role of the International Monetary fund (IMF) in bailing out nations facing an economic crisis.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of the following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 300 words each.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(2x10=20)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can we achieve market equilibrium under the demand and supply framework?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a perception that a larger young population means greater human capital, greater economic growth, and better living standards. Elaborate on this statement in view of India’s demographic dividend.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impact that the new Industrial policy 1991 had on the Indian economy.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ONE of the following in 400 words.</w:t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(1x15=15)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consumer’s equilibrium with the help of indifference curves and budget lines.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in detail the causes and impact of the Green revolution on Indian agriculture. In today’s context what measures do you suggest to revolutionize Indian agriculture sector?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40"/>
          <w:tab w:val="left" w:leader="none" w:pos="8052"/>
        </w:tabs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**********************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  <w:t xml:space="preserve">APR8222_A_23</w:t>
    </w:r>
  </w:p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-445768</wp:posOffset>
          </wp:positionH>
          <wp:positionV relativeFrom="paragraph">
            <wp:posOffset>-102869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