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142.00000000000003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-495299</wp:posOffset>
                </wp:positionV>
                <wp:extent cx="1847850" cy="644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500"/>
                          <a:ext cx="183832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-495299</wp:posOffset>
                </wp:positionV>
                <wp:extent cx="1847850" cy="6445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-426718</wp:posOffset>
            </wp:positionV>
            <wp:extent cx="1014095" cy="9525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 JOSEPH’S UNIVERSITY, BENGALURU -27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 Advertising &amp; Public Relations– II SEMESTER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APR 8522: Corporate Communications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batch)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1 Hours</w:t>
        <w:tab/>
        <w:tab/>
        <w:tab/>
        <w:tab/>
        <w:tab/>
        <w:tab/>
        <w:tab/>
        <w:tab/>
        <w:t xml:space="preserve">    Max Marks: 25</w:t>
      </w:r>
    </w:p>
    <w:p w:rsidR="00000000" w:rsidDel="00000000" w:rsidP="00000000" w:rsidRDefault="00000000" w:rsidRPr="00000000" w14:paraId="0000000A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 any THREE in about 200 words each. </w:t>
        <w:tab/>
        <w:tab/>
        <w:t xml:space="preserve">(3x5=15)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Journalist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Listed Company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 of social media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Editorial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Corporate Social Responsibility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ONE in about 500 words.</w:t>
        <w:tab/>
        <w:tab/>
        <w:tab/>
        <w:tab/>
        <w:t xml:space="preserve">         (1x10=10)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993" w:hanging="283.999999999999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 What are the steps involved in developing an investor communications strategy? Briefly describe each one of them.</w:t>
      </w:r>
    </w:p>
    <w:p w:rsidR="00000000" w:rsidDel="00000000" w:rsidP="00000000" w:rsidRDefault="00000000" w:rsidRPr="00000000" w14:paraId="00000016">
      <w:pPr>
        <w:spacing w:after="0" w:lineRule="auto"/>
        <w:ind w:left="993" w:hanging="283.999999999999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How does a strategic community initiative plan help in building goodwill among the internal and external stakeholders of a business organisation?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***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APR8522_A_23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