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B.Com–VI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BC6218/BPS6218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– INCOME TAX II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A">
      <w:pPr>
        <w:tabs>
          <w:tab w:val="left" w:leader="none" w:pos="284"/>
        </w:tabs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paper contains ______ printed pages and __4___ parts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A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five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 x 5 = 10 marks)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Mention the provisions of Section 80 U.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Rebate U/S 87A?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re-assessment?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Mention any four assets which do not come under the term capital asset.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a block of asset?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net winning from a race is Rs.2,06,400, find the gross amount.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B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three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 x 3 = 15 marks)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the rules of set off and carry forward of losses as per Income Tax Act, 1961.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 the eligible deduction under chapter VI-A for the AY 2023-24 of Ms Reena, aged 40 years, who has a gross total income of Rs.15,00,000 for the AY. 2023-24 and provides the following information about her investments/payments during the PY 2022-23.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242.0" w:type="dxa"/>
        <w:jc w:val="left"/>
        <w:tblInd w:w="4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46"/>
        <w:gridCol w:w="1796"/>
        <w:tblGridChange w:id="0">
          <w:tblGrid>
            <w:gridCol w:w="7446"/>
            <w:gridCol w:w="17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Particulars 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Life insurance premium paid (policy taken on 31-03-2012 and sum assured is 4,40,000)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35,000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 provident fund contribution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1,50,000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Repayment of housing loan to Bhartiya Mahila Bank, Bangalore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Payment of L.I.C pension fund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1,40,000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 claim policy taken for self, spouse and dependent children, premium paid by cheque 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Medical insurance premium paid by cheque for parents( senior citizens)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52000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Examine under which heads the following incomes are taxable: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Rental income from own property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Dividend on shares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Salary received by a partner from his partnership firm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Rental income of machinery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Winnings from lotteries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Salaries payable to a member of parliament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Gifts from patients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Royalty income from authoring books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Rental income in case of a person engaged in the business of letting out of properties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Income from sale of plot and jewellery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 tax liability in the following cases, for the AY 2023-24, if advance tax paid in Rs 80,000 under existing tax regime: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Case 1: If Total income of Mr Sri Chandan aged 33 is 12,80,000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Case 2: If Total income of Mr G aged 75 is 10,28,200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C 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two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15 x 2 = 30 marks)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1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 Sidhartha has a residential house property taxable u/s 22. Such property is acquired on 12/08/2005 for Rs 2,00,000. The property is sold on 1/03/2023 for Rs 25,00,000. He acquired another residential house on 31/03/2023 for Rs 17,00,000 for self-occupation. On 1/3/2024, he sold such new residential house for Rs 30,00,000. Compute his capital gain for the AY 2023-24 and 2024-25.</w:t>
        <w:tab/>
        <w:tab/>
        <w:tab/>
        <w:tab/>
        <w:t xml:space="preserve">(10Marks)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1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CII 2004-05:113, 2005-06:117, 2022-23:331, 2021-22:317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1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the provisions of section 54 F. </w:t>
        <w:tab/>
        <w:tab/>
        <w:tab/>
        <w:tab/>
        <w:t xml:space="preserve">(5Marks)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1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1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Dr. Ashok (resident) is a professor of Economics. He submits the following     information and wants you to compute his income from other sources for the A.Y. 2023-24.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17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a) He is an author of a text book and received royalty of </w:t>
      </w:r>
      <w:r w:rsidDel="00000000" w:rsidR="00000000" w:rsidRPr="00000000">
        <w:rPr>
          <w:rFonts w:ascii="Arial" w:cs="Arial" w:eastAsia="Arial" w:hAnsi="Arial"/>
          <w:rtl w:val="0"/>
        </w:rPr>
        <w:t xml:space="preserve">₹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45,000. He claims the following deductions from this amount:(i) Salary to clerk for gathering information for him to write the book </w:t>
      </w:r>
      <w:r w:rsidDel="00000000" w:rsidR="00000000" w:rsidRPr="00000000">
        <w:rPr>
          <w:rFonts w:ascii="Arial" w:cs="Arial" w:eastAsia="Arial" w:hAnsi="Arial"/>
          <w:rtl w:val="0"/>
        </w:rPr>
        <w:t xml:space="preserve">₹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5,000 ii) Cost of books purchased </w:t>
      </w:r>
      <w:r w:rsidDel="00000000" w:rsidR="00000000" w:rsidRPr="00000000">
        <w:rPr>
          <w:rFonts w:ascii="Arial" w:cs="Arial" w:eastAsia="Arial" w:hAnsi="Arial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1,000 for reference work in order to write his book. (iii) Telephone expenses of </w:t>
      </w:r>
      <w:r w:rsidDel="00000000" w:rsidR="00000000" w:rsidRPr="00000000">
        <w:rPr>
          <w:rFonts w:ascii="Arial" w:cs="Arial" w:eastAsia="Arial" w:hAnsi="Arial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8000 in connection with printing and publication of the book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17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b) Income from articles published in "Economic Times" </w:t>
      </w:r>
      <w:r w:rsidDel="00000000" w:rsidR="00000000" w:rsidRPr="00000000">
        <w:rPr>
          <w:rFonts w:ascii="Arial" w:cs="Arial" w:eastAsia="Arial" w:hAnsi="Arial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7,000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7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He lives in a rented house paying a rent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4,000 p.m. He has sub-let half portion of the house for a rent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3,000 p.m. Dr.. Ashok pays the municipal tax for the whole house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4,000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7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He received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200 per lecture delivered at the Economics Institute during the year, he delivered 22 guest lectures.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7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As an examiner of various universities he received remuneration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5,000.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7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His other incomes were: Winnings from lottery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21,000 (net) and Interest on Govt. of England Bonds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3,000.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357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    q) Interest on P.O.S.B A/c </w:t>
      </w:r>
      <w:r w:rsidDel="00000000" w:rsidR="00000000" w:rsidRPr="00000000">
        <w:rPr>
          <w:rFonts w:ascii="Arial" w:cs="Arial" w:eastAsia="Arial" w:hAnsi="Arial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1,000.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357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    h) Interest received on deposit with a firm </w:t>
      </w:r>
      <w:r w:rsidDel="00000000" w:rsidR="00000000" w:rsidRPr="00000000">
        <w:rPr>
          <w:rFonts w:ascii="Arial" w:cs="Arial" w:eastAsia="Arial" w:hAnsi="Arial"/>
          <w:rtl w:val="0"/>
        </w:rPr>
        <w:t xml:space="preserve">₹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5,400(Net).</w:t>
      </w:r>
    </w:p>
    <w:p w:rsidR="00000000" w:rsidDel="00000000" w:rsidP="00000000" w:rsidRDefault="00000000" w:rsidRPr="00000000" w14:paraId="00000052">
      <w:pPr>
        <w:tabs>
          <w:tab w:val="center" w:leader="none" w:pos="4680"/>
          <w:tab w:val="left" w:leader="none" w:pos="664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Dr.Veneeth is a leading doctor who maintains his book of account on cash basis furnishes the following receipts and payments A/c for the financial year 2022-23.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Receipts and Payments Account for the year ending 31st March 2022</w:t>
      </w:r>
    </w:p>
    <w:tbl>
      <w:tblPr>
        <w:tblStyle w:val="Table2"/>
        <w:tblW w:w="83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200"/>
        <w:gridCol w:w="3421"/>
        <w:gridCol w:w="1399"/>
        <w:tblGridChange w:id="0">
          <w:tblGrid>
            <w:gridCol w:w="2310"/>
            <w:gridCol w:w="1200"/>
            <w:gridCol w:w="3421"/>
            <w:gridCol w:w="13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hd w:fill="ffffff" w:val="clea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Receipts</w:t>
            </w:r>
          </w:p>
        </w:tc>
        <w:tc>
          <w:tcPr/>
          <w:p w:rsidR="00000000" w:rsidDel="00000000" w:rsidP="00000000" w:rsidRDefault="00000000" w:rsidRPr="00000000" w14:paraId="00000057">
            <w:pPr>
              <w:shd w:fill="ffffff" w:val="clea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Rs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Payments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Balance b/d</w:t>
            </w:r>
          </w:p>
        </w:tc>
        <w:tc>
          <w:tcPr/>
          <w:p w:rsidR="00000000" w:rsidDel="00000000" w:rsidP="00000000" w:rsidRDefault="00000000" w:rsidRPr="00000000" w14:paraId="0000005B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10,000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Salaries, General expenses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25,000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Professional fees</w:t>
            </w:r>
          </w:p>
        </w:tc>
        <w:tc>
          <w:tcPr/>
          <w:p w:rsidR="00000000" w:rsidDel="00000000" w:rsidP="00000000" w:rsidRDefault="00000000" w:rsidRPr="00000000" w14:paraId="0000005F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1,00,000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Magazine Subscription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3,000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Dividend from an Indian Co.</w:t>
            </w:r>
          </w:p>
        </w:tc>
        <w:tc>
          <w:tcPr/>
          <w:p w:rsidR="00000000" w:rsidDel="00000000" w:rsidP="00000000" w:rsidRDefault="00000000" w:rsidRPr="00000000" w14:paraId="00000064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9,000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Motor Car expense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20,000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Share from HUF</w:t>
            </w:r>
          </w:p>
        </w:tc>
        <w:tc>
          <w:tcPr/>
          <w:p w:rsidR="00000000" w:rsidDel="00000000" w:rsidP="00000000" w:rsidRDefault="00000000" w:rsidRPr="00000000" w14:paraId="0000006A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11,000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Purchase of scanning machine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50,000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Share of Profits from</w:t>
            </w:r>
          </w:p>
          <w:p w:rsidR="00000000" w:rsidDel="00000000" w:rsidP="00000000" w:rsidRDefault="00000000" w:rsidRPr="00000000" w14:paraId="00000070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partnership firm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15,000</w:t>
            </w:r>
          </w:p>
        </w:tc>
        <w:tc>
          <w:tcPr/>
          <w:p w:rsidR="00000000" w:rsidDel="00000000" w:rsidP="00000000" w:rsidRDefault="00000000" w:rsidRPr="00000000" w14:paraId="00000073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Income tax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5,000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Professional tax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2,000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House property expenses:</w:t>
            </w:r>
          </w:p>
          <w:p w:rsidR="00000000" w:rsidDel="00000000" w:rsidP="00000000" w:rsidRDefault="00000000" w:rsidRPr="00000000" w14:paraId="0000007E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Taxes                  6,000</w:t>
            </w:r>
          </w:p>
          <w:p w:rsidR="00000000" w:rsidDel="00000000" w:rsidP="00000000" w:rsidRDefault="00000000" w:rsidRPr="00000000" w14:paraId="0000007F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Repairs               3,000</w:t>
            </w:r>
          </w:p>
          <w:p w:rsidR="00000000" w:rsidDel="00000000" w:rsidP="00000000" w:rsidRDefault="00000000" w:rsidRPr="00000000" w14:paraId="00000080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Interest on loan   9,000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 18,000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Balance c/d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22,000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145,000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145,000</w:t>
            </w:r>
          </w:p>
        </w:tc>
      </w:tr>
    </w:tbl>
    <w:p w:rsidR="00000000" w:rsidDel="00000000" w:rsidP="00000000" w:rsidRDefault="00000000" w:rsidRPr="00000000" w14:paraId="0000008B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Compute income from profession for the relevant assessment year 2023-24 after taking into account the following information: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30% of the car expenses are in respect of personal use.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Depreciate scanning machine @ 15% it was purchased on 10th Dec. 2022.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He stays in his house; One-third of the house is used as his clinic. The gross annual value of the whole house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24,000.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D</w:t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Answer the following </w:t>
        <w:tab/>
        <w:tab/>
        <w:tab/>
        <w:tab/>
        <w:tab/>
        <w:t xml:space="preserve">                   </w:t>
        <w:tab/>
        <w:t xml:space="preserve">(15marks)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Following are the details of Mr. Sharath for the previous year 2022-23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Gross salary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,54,000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Income from house property (Computed)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72,000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Income from business (Computed)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3,37,000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Income from profession of consulting (Computed)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1,18,000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Short term capital gain on sale of Jewellery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57,000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Short term capital gain on sale of shares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49,000 (Not subject to STT)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Long term capital gain on sale of land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1,33,000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Income from other sources (including lottery winnings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1,00,000 Net)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1,79,000.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Sharath is eligible for deduction under various sections of 80C to the extent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1,47,000 for the PY 2022-23 he had paid an advance tax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49,000 and tax was deducted at source from lottery winnings at the rate of 30%.</w:t>
      </w:r>
    </w:p>
    <w:p w:rsidR="00000000" w:rsidDel="00000000" w:rsidP="00000000" w:rsidRDefault="00000000" w:rsidRPr="00000000" w14:paraId="000000B2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Compute the Net tax liability of Mr. Sharath for the assessment year 2023-24 if he is a resident aged about 58 years, under Existing Tax Regime.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BC6218/BPS6218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_A_23</w:t>
    </w:r>
  </w:p>
  <w:p w:rsidR="00000000" w:rsidDel="00000000" w:rsidP="00000000" w:rsidRDefault="00000000" w:rsidRPr="00000000" w14:paraId="000000B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717" w:hanging="360"/>
      </w:pPr>
      <w:rPr/>
    </w:lvl>
    <w:lvl w:ilvl="1">
      <w:start w:val="1"/>
      <w:numFmt w:val="lowerLetter"/>
      <w:lvlText w:val="%2."/>
      <w:lvlJc w:val="left"/>
      <w:pPr>
        <w:ind w:left="1437" w:hanging="360"/>
      </w:pPr>
      <w:rPr/>
    </w:lvl>
    <w:lvl w:ilvl="2">
      <w:start w:val="1"/>
      <w:numFmt w:val="lowerRoman"/>
      <w:lvlText w:val="%3."/>
      <w:lvlJc w:val="right"/>
      <w:pPr>
        <w:ind w:left="2157" w:hanging="180"/>
      </w:pPr>
      <w:rPr/>
    </w:lvl>
    <w:lvl w:ilvl="3">
      <w:start w:val="1"/>
      <w:numFmt w:val="decimal"/>
      <w:lvlText w:val="%4."/>
      <w:lvlJc w:val="left"/>
      <w:pPr>
        <w:ind w:left="2877" w:hanging="360"/>
      </w:pPr>
      <w:rPr/>
    </w:lvl>
    <w:lvl w:ilvl="4">
      <w:start w:val="1"/>
      <w:numFmt w:val="lowerLetter"/>
      <w:lvlText w:val="%5."/>
      <w:lvlJc w:val="left"/>
      <w:pPr>
        <w:ind w:left="3597" w:hanging="360"/>
      </w:pPr>
      <w:rPr/>
    </w:lvl>
    <w:lvl w:ilvl="5">
      <w:start w:val="1"/>
      <w:numFmt w:val="lowerRoman"/>
      <w:lvlText w:val="%6."/>
      <w:lvlJc w:val="right"/>
      <w:pPr>
        <w:ind w:left="4317" w:hanging="180"/>
      </w:pPr>
      <w:rPr/>
    </w:lvl>
    <w:lvl w:ilvl="6">
      <w:start w:val="1"/>
      <w:numFmt w:val="decimal"/>
      <w:lvlText w:val="%7."/>
      <w:lvlJc w:val="left"/>
      <w:pPr>
        <w:ind w:left="5037" w:hanging="360"/>
      </w:pPr>
      <w:rPr/>
    </w:lvl>
    <w:lvl w:ilvl="7">
      <w:start w:val="1"/>
      <w:numFmt w:val="lowerLetter"/>
      <w:lvlText w:val="%8."/>
      <w:lvlJc w:val="left"/>
      <w:pPr>
        <w:ind w:left="5757" w:hanging="360"/>
      </w:pPr>
      <w:rPr/>
    </w:lvl>
    <w:lvl w:ilvl="8">
      <w:start w:val="1"/>
      <w:numFmt w:val="lowerRoman"/>
      <w:lvlText w:val="%9."/>
      <w:lvlJc w:val="right"/>
      <w:pPr>
        <w:ind w:left="6477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3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Roman"/>
      <w:lvlText w:val="%1."/>
      <w:lvlJc w:val="righ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