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St Joseph’s College (Autonomous)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-368299</wp:posOffset>
                </wp:positionV>
                <wp:extent cx="1685925" cy="7397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07800" y="3414875"/>
                          <a:ext cx="167640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4711700</wp:posOffset>
                </wp:positionH>
                <wp:positionV relativeFrom="paragraph">
                  <wp:posOffset>-368299</wp:posOffset>
                </wp:positionV>
                <wp:extent cx="1685925" cy="73977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739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BA. Visual Communication – VI Semester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End Semester Examination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VC 6220 – Visual Aesthetics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Time: 2 ½</w:t>
        <w:tab/>
        <w:t xml:space="preserve">     </w:t>
        <w:tab/>
        <w:tab/>
        <w:tab/>
        <w:tab/>
        <w:tab/>
        <w:tab/>
        <w:tab/>
        <w:t xml:space="preserve">Max. Marks: 70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This paper contains ONE printed page and TWO parts.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09" w:right="0" w:hanging="28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 any FOUR questions in about 200 words each: (4 x 10)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Elucidate appropriate reflections on the phrase ‘Art for art’s sake’. How do these notions contribute to the advantages of artists?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creativity and rasa as evolved from the readings of Indian aesthetics? Explain.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 at the following images (a) and (b) and derive your assumptions about various stylized visual representations associated with its times.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396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(b)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041572" cy="1814254"/>
            <wp:effectExtent b="38100" l="38100" r="38100" t="38100"/>
            <wp:docPr descr="Robert Morris, ‘Untitled’ 1965, reconstructed 1971" id="2" name="image1.jpg"/>
            <a:graphic>
              <a:graphicData uri="http://schemas.openxmlformats.org/drawingml/2006/picture">
                <pic:pic>
                  <pic:nvPicPr>
                    <pic:cNvPr descr="Robert Morris, ‘Untitled’ 1965, reconstructed 1971" id="0" name="image1.jpg"/>
                    <pic:cNvPicPr preferRelativeResize="0"/>
                  </pic:nvPicPr>
                  <pic:blipFill>
                    <a:blip r:embed="rId7"/>
                    <a:srcRect b="-2" l="11108" r="-2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1572" cy="1814254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</w:t>
      </w: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1477830" cy="1858905"/>
            <wp:effectExtent b="38100" l="38100" r="38100" t="38100"/>
            <wp:docPr descr="Bart van der Leck, ‘Composition’ 1918" id="3" name="image2.jpg"/>
            <a:graphic>
              <a:graphicData uri="http://schemas.openxmlformats.org/drawingml/2006/picture">
                <pic:pic>
                  <pic:nvPicPr>
                    <pic:cNvPr descr="Bart van der Leck, ‘Composition’ 1918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7830" cy="185890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philosophy? What are its branches?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 photograph composed of and how are those compositions valued as a rhetoric of the image?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male gaze in visual medium contribute to the objectification and alienation of women?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Answer any TWO of the following in about 350 to 400 words each: (2 x 15)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a detailed view of Walt Disney’s evolution in the art and entertainment market.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does Ruchi Ravi Shewade establish that item songs in Hindi mainstream cinema have marginalised women? Summarise the arguments in her article.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six perspectives of visual analysis with reference to a known photograph OR film OR artwork.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intertextuality? What are its types? Discuss the probable advantages of intertextuality in visual representations.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VC 6220_A_23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(%1)"/>
      <w:lvlJc w:val="left"/>
      <w:pPr>
        <w:ind w:left="396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