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ST.JOSEPH’S UNIVERSITY, BENGALURU -27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-698499</wp:posOffset>
                </wp:positionV>
                <wp:extent cx="1857375" cy="653935"/>
                <wp:effectExtent b="0" l="0" r="0" t="0"/>
                <wp:wrapNone/>
                <wp:docPr id="1" name=""/>
                <a:graphic>
                  <a:graphicData uri="http://schemas.microsoft.com/office/word/2010/wordprocessingShape">
                    <wps:wsp>
                      <wps:cNvSpPr/>
                      <wps:cNvPr id="2" name="Shape 2"/>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-698499</wp:posOffset>
                </wp:positionV>
                <wp:extent cx="1857375" cy="65393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57375" cy="653935"/>
                        </a:xfrm>
                        <a:prstGeom prst="rect"/>
                        <a:ln/>
                      </pic:spPr>
                    </pic:pic>
                  </a:graphicData>
                </a:graphic>
              </wp:anchor>
            </w:drawing>
          </mc:Fallback>
        </mc:AlternateContent>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M.Sc COUNSELLING PSYCHOLOGY – II SEMESTER</w:t>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APRIL 2023</w:t>
      </w:r>
    </w:p>
    <w:p w:rsidR="00000000" w:rsidDel="00000000" w:rsidP="00000000" w:rsidRDefault="00000000" w:rsidRPr="00000000" w14:paraId="00000004">
      <w:pPr>
        <w:spacing w:after="0" w:line="259"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(Examination conducted in May 2023)</w:t>
      </w:r>
    </w:p>
    <w:p w:rsidR="00000000" w:rsidDel="00000000" w:rsidP="00000000" w:rsidRDefault="00000000" w:rsidRPr="00000000" w14:paraId="00000005">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PY8421 – PSYCHOPATHOLOGY I</w:t>
      </w:r>
    </w:p>
    <w:p w:rsidR="00000000" w:rsidDel="00000000" w:rsidP="00000000" w:rsidRDefault="00000000" w:rsidRPr="00000000" w14:paraId="00000006">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 current batch students only)</w:t>
      </w:r>
    </w:p>
    <w:p w:rsidR="00000000" w:rsidDel="00000000" w:rsidP="00000000" w:rsidRDefault="00000000" w:rsidRPr="00000000" w14:paraId="00000007">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Hours</w:t>
        <w:tab/>
        <w:tab/>
        <w:tab/>
        <w:tab/>
        <w:tab/>
        <w:tab/>
        <w:tab/>
        <w:tab/>
        <w:t xml:space="preserve">    Max Marks: 50</w:t>
      </w:r>
    </w:p>
    <w:p w:rsidR="00000000" w:rsidDel="00000000" w:rsidP="00000000" w:rsidRDefault="00000000" w:rsidRPr="00000000" w14:paraId="00000009">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ONE printed page and FIVE parts. </w:t>
      </w:r>
    </w:p>
    <w:p w:rsidR="00000000" w:rsidDel="00000000" w:rsidP="00000000" w:rsidRDefault="00000000" w:rsidRPr="00000000" w14:paraId="0000000A">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Answer ONE question from each part. Each part carries 10 marks</w:t>
      </w:r>
    </w:p>
    <w:p w:rsidR="00000000" w:rsidDel="00000000" w:rsidP="00000000" w:rsidRDefault="00000000" w:rsidRPr="00000000" w14:paraId="0000000B">
      <w:pPr>
        <w:spacing w:after="0" w:line="259" w:lineRule="auto"/>
        <w:rPr>
          <w:rFonts w:ascii="Arial" w:cs="Arial" w:eastAsia="Arial" w:hAnsi="Arial"/>
          <w:b w:val="1"/>
        </w:rPr>
      </w:pPr>
      <w:bookmarkStart w:colFirst="0" w:colLast="0" w:name="_gjdgxs" w:id="0"/>
      <w:bookmarkEnd w:id="0"/>
      <w:r w:rsidDel="00000000" w:rsidR="00000000" w:rsidRPr="00000000">
        <w:rPr>
          <w:rtl w:val="0"/>
        </w:rPr>
      </w:r>
    </w:p>
    <w:p w:rsidR="00000000" w:rsidDel="00000000" w:rsidP="00000000" w:rsidRDefault="00000000" w:rsidRPr="00000000" w14:paraId="0000000C">
      <w:pPr>
        <w:spacing w:after="0" w:line="259" w:lineRule="auto"/>
        <w:jc w:val="center"/>
        <w:rPr>
          <w:rFonts w:ascii="Arial" w:cs="Arial" w:eastAsia="Arial" w:hAnsi="Arial"/>
        </w:rPr>
      </w:pPr>
      <w:r w:rsidDel="00000000" w:rsidR="00000000" w:rsidRPr="00000000">
        <w:rPr>
          <w:rFonts w:ascii="Arial" w:cs="Arial" w:eastAsia="Arial" w:hAnsi="Arial"/>
          <w:b w:val="1"/>
          <w:u w:val="single"/>
          <w:rtl w:val="0"/>
        </w:rPr>
        <w:t xml:space="preserve">PART-A</w:t>
      </w: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Enumerate the different parts of mental status examination using appropriate examples.</w:t>
      </w:r>
    </w:p>
    <w:p w:rsidR="00000000" w:rsidDel="00000000" w:rsidP="00000000" w:rsidRDefault="00000000" w:rsidRPr="00000000" w14:paraId="0000000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OR</w:t>
      </w:r>
    </w:p>
    <w:p w:rsidR="00000000" w:rsidDel="00000000" w:rsidP="00000000" w:rsidRDefault="00000000" w:rsidRPr="00000000" w14:paraId="0000000F">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Critically comment on the cognitive behavioural and humanistic viewpoints on psychopathology. </w:t>
      </w:r>
    </w:p>
    <w:p w:rsidR="00000000" w:rsidDel="00000000" w:rsidP="00000000" w:rsidRDefault="00000000" w:rsidRPr="00000000" w14:paraId="00000010">
      <w:pPr>
        <w:spacing w:after="0" w:line="24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11">
      <w:pPr>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PART-B</w:t>
      </w:r>
    </w:p>
    <w:p w:rsidR="00000000" w:rsidDel="00000000" w:rsidP="00000000" w:rsidRDefault="00000000" w:rsidRPr="00000000" w14:paraId="00000012">
      <w:pPr>
        <w:widowControl w:val="0"/>
        <w:numPr>
          <w:ilvl w:val="0"/>
          <w:numId w:val="1"/>
        </w:numPr>
        <w:spacing w:after="0" w:before="6" w:line="229" w:lineRule="auto"/>
        <w:ind w:left="720" w:right="270" w:hanging="360"/>
        <w:rPr>
          <w:rFonts w:ascii="Arial" w:cs="Arial" w:eastAsia="Arial" w:hAnsi="Arial"/>
        </w:rPr>
      </w:pPr>
      <w:r w:rsidDel="00000000" w:rsidR="00000000" w:rsidRPr="00000000">
        <w:rPr>
          <w:rFonts w:ascii="Arial" w:cs="Arial" w:eastAsia="Arial" w:hAnsi="Arial"/>
          <w:rtl w:val="0"/>
        </w:rPr>
        <w:t xml:space="preserve">Compare and contrast the clinical features of anorexia nervosa and bulimia nervosa.</w:t>
      </w:r>
    </w:p>
    <w:p w:rsidR="00000000" w:rsidDel="00000000" w:rsidP="00000000" w:rsidRDefault="00000000" w:rsidRPr="00000000" w14:paraId="00000013">
      <w:pPr>
        <w:widowControl w:val="0"/>
        <w:spacing w:after="0" w:before="6" w:line="229" w:lineRule="auto"/>
        <w:ind w:left="720" w:right="270" w:firstLine="0"/>
        <w:jc w:val="center"/>
        <w:rPr>
          <w:rFonts w:ascii="Arial" w:cs="Arial" w:eastAsia="Arial" w:hAnsi="Arial"/>
        </w:rPr>
      </w:pPr>
      <w:r w:rsidDel="00000000" w:rsidR="00000000" w:rsidRPr="00000000">
        <w:rPr>
          <w:rFonts w:ascii="Arial" w:cs="Arial" w:eastAsia="Arial" w:hAnsi="Arial"/>
          <w:rtl w:val="0"/>
        </w:rPr>
        <w:t xml:space="preserve">OR</w:t>
      </w:r>
    </w:p>
    <w:p w:rsidR="00000000" w:rsidDel="00000000" w:rsidP="00000000" w:rsidRDefault="00000000" w:rsidRPr="00000000" w14:paraId="00000014">
      <w:pPr>
        <w:widowControl w:val="0"/>
        <w:numPr>
          <w:ilvl w:val="0"/>
          <w:numId w:val="1"/>
        </w:numPr>
        <w:spacing w:after="0" w:before="6" w:line="229" w:lineRule="auto"/>
        <w:ind w:left="720" w:right="270" w:hanging="360"/>
        <w:rPr>
          <w:rFonts w:ascii="Arial" w:cs="Arial" w:eastAsia="Arial" w:hAnsi="Arial"/>
        </w:rPr>
      </w:pPr>
      <w:r w:rsidDel="00000000" w:rsidR="00000000" w:rsidRPr="00000000">
        <w:rPr>
          <w:rFonts w:ascii="Arial" w:cs="Arial" w:eastAsia="Arial" w:hAnsi="Arial"/>
          <w:rtl w:val="0"/>
        </w:rPr>
        <w:t xml:space="preserve">Elaborate on the manifestation of ASD in children.</w:t>
      </w:r>
    </w:p>
    <w:p w:rsidR="00000000" w:rsidDel="00000000" w:rsidP="00000000" w:rsidRDefault="00000000" w:rsidRPr="00000000" w14:paraId="00000015">
      <w:pPr>
        <w:widowControl w:val="0"/>
        <w:spacing w:after="0" w:before="6" w:line="229" w:lineRule="auto"/>
        <w:ind w:right="27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16">
      <w:pPr>
        <w:widowControl w:val="0"/>
        <w:spacing w:after="0" w:before="6" w:line="229" w:lineRule="auto"/>
        <w:ind w:right="27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PART-C</w:t>
      </w:r>
    </w:p>
    <w:p w:rsidR="00000000" w:rsidDel="00000000" w:rsidP="00000000" w:rsidRDefault="00000000" w:rsidRPr="00000000" w14:paraId="00000017">
      <w:pPr>
        <w:widowControl w:val="0"/>
        <w:numPr>
          <w:ilvl w:val="0"/>
          <w:numId w:val="1"/>
        </w:numPr>
        <w:spacing w:after="0" w:line="229" w:lineRule="auto"/>
        <w:ind w:left="720" w:right="362" w:hanging="360"/>
        <w:rPr>
          <w:rFonts w:ascii="Arial" w:cs="Arial" w:eastAsia="Arial" w:hAnsi="Arial"/>
        </w:rPr>
      </w:pPr>
      <w:r w:rsidDel="00000000" w:rsidR="00000000" w:rsidRPr="00000000">
        <w:rPr>
          <w:rFonts w:ascii="Arial" w:cs="Arial" w:eastAsia="Arial" w:hAnsi="Arial"/>
          <w:rtl w:val="0"/>
        </w:rPr>
        <w:t xml:space="preserve">Enumerate the clinical features of generalised anxiety disorder. </w:t>
      </w:r>
    </w:p>
    <w:p w:rsidR="00000000" w:rsidDel="00000000" w:rsidP="00000000" w:rsidRDefault="00000000" w:rsidRPr="00000000" w14:paraId="00000018">
      <w:pPr>
        <w:widowControl w:val="0"/>
        <w:spacing w:after="0" w:line="229" w:lineRule="auto"/>
        <w:ind w:left="720" w:right="362" w:firstLine="0"/>
        <w:jc w:val="center"/>
        <w:rPr>
          <w:rFonts w:ascii="Arial" w:cs="Arial" w:eastAsia="Arial" w:hAnsi="Arial"/>
        </w:rPr>
      </w:pPr>
      <w:r w:rsidDel="00000000" w:rsidR="00000000" w:rsidRPr="00000000">
        <w:rPr>
          <w:rFonts w:ascii="Arial" w:cs="Arial" w:eastAsia="Arial" w:hAnsi="Arial"/>
          <w:rtl w:val="0"/>
        </w:rPr>
        <w:t xml:space="preserve">OR</w:t>
      </w:r>
    </w:p>
    <w:p w:rsidR="00000000" w:rsidDel="00000000" w:rsidP="00000000" w:rsidRDefault="00000000" w:rsidRPr="00000000" w14:paraId="00000019">
      <w:pPr>
        <w:widowControl w:val="0"/>
        <w:numPr>
          <w:ilvl w:val="0"/>
          <w:numId w:val="1"/>
        </w:numPr>
        <w:spacing w:after="0" w:line="229" w:lineRule="auto"/>
        <w:ind w:left="720" w:right="362" w:hanging="360"/>
        <w:rPr>
          <w:rFonts w:ascii="Arial" w:cs="Arial" w:eastAsia="Arial" w:hAnsi="Arial"/>
        </w:rPr>
      </w:pPr>
      <w:r w:rsidDel="00000000" w:rsidR="00000000" w:rsidRPr="00000000">
        <w:rPr>
          <w:rFonts w:ascii="Arial" w:cs="Arial" w:eastAsia="Arial" w:hAnsi="Arial"/>
          <w:rtl w:val="0"/>
        </w:rPr>
        <w:t xml:space="preserve">Make a comparison on the clinical presentation of selective mutism and separation anxiety disorder.</w:t>
      </w:r>
    </w:p>
    <w:p w:rsidR="00000000" w:rsidDel="00000000" w:rsidP="00000000" w:rsidRDefault="00000000" w:rsidRPr="00000000" w14:paraId="0000001A">
      <w:pPr>
        <w:widowControl w:val="0"/>
        <w:spacing w:after="0" w:line="229" w:lineRule="auto"/>
        <w:ind w:right="362"/>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1B">
      <w:pPr>
        <w:widowControl w:val="0"/>
        <w:spacing w:after="0" w:line="229" w:lineRule="auto"/>
        <w:ind w:right="362"/>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PART-D</w:t>
      </w:r>
    </w:p>
    <w:p w:rsidR="00000000" w:rsidDel="00000000" w:rsidP="00000000" w:rsidRDefault="00000000" w:rsidRPr="00000000" w14:paraId="0000001C">
      <w:pPr>
        <w:widowControl w:val="0"/>
        <w:numPr>
          <w:ilvl w:val="0"/>
          <w:numId w:val="1"/>
        </w:numPr>
        <w:spacing w:after="0" w:line="229" w:lineRule="auto"/>
        <w:ind w:left="720" w:right="25" w:hanging="360"/>
        <w:rPr>
          <w:rFonts w:ascii="Arial" w:cs="Arial" w:eastAsia="Arial" w:hAnsi="Arial"/>
        </w:rPr>
      </w:pPr>
      <w:r w:rsidDel="00000000" w:rsidR="00000000" w:rsidRPr="00000000">
        <w:rPr>
          <w:rFonts w:ascii="Arial" w:cs="Arial" w:eastAsia="Arial" w:hAnsi="Arial"/>
          <w:rtl w:val="0"/>
        </w:rPr>
        <w:t xml:space="preserve">Write a note on the symptomatology of body dysmorphic disorder. </w:t>
      </w:r>
    </w:p>
    <w:p w:rsidR="00000000" w:rsidDel="00000000" w:rsidP="00000000" w:rsidRDefault="00000000" w:rsidRPr="00000000" w14:paraId="0000001D">
      <w:pPr>
        <w:widowControl w:val="0"/>
        <w:spacing w:after="0" w:line="229" w:lineRule="auto"/>
        <w:ind w:left="720" w:right="25" w:firstLine="0"/>
        <w:jc w:val="center"/>
        <w:rPr>
          <w:rFonts w:ascii="Arial" w:cs="Arial" w:eastAsia="Arial" w:hAnsi="Arial"/>
        </w:rPr>
      </w:pPr>
      <w:r w:rsidDel="00000000" w:rsidR="00000000" w:rsidRPr="00000000">
        <w:rPr>
          <w:rFonts w:ascii="Arial" w:cs="Arial" w:eastAsia="Arial" w:hAnsi="Arial"/>
          <w:rtl w:val="0"/>
        </w:rPr>
        <w:t xml:space="preserve">OR</w:t>
      </w:r>
    </w:p>
    <w:p w:rsidR="00000000" w:rsidDel="00000000" w:rsidP="00000000" w:rsidRDefault="00000000" w:rsidRPr="00000000" w14:paraId="0000001E">
      <w:pPr>
        <w:widowControl w:val="0"/>
        <w:numPr>
          <w:ilvl w:val="0"/>
          <w:numId w:val="1"/>
        </w:numPr>
        <w:spacing w:after="0" w:line="229" w:lineRule="auto"/>
        <w:ind w:left="720" w:right="25" w:hanging="360"/>
        <w:rPr>
          <w:rFonts w:ascii="Arial" w:cs="Arial" w:eastAsia="Arial" w:hAnsi="Arial"/>
        </w:rPr>
      </w:pPr>
      <w:r w:rsidDel="00000000" w:rsidR="00000000" w:rsidRPr="00000000">
        <w:rPr>
          <w:rFonts w:ascii="Arial" w:cs="Arial" w:eastAsia="Arial" w:hAnsi="Arial"/>
          <w:rtl w:val="0"/>
        </w:rPr>
        <w:t xml:space="preserve">Identify the disorder and elucidate the symptoms present using appropriate criteria from DSM-5. </w:t>
      </w:r>
    </w:p>
    <w:p w:rsidR="00000000" w:rsidDel="00000000" w:rsidP="00000000" w:rsidRDefault="00000000" w:rsidRPr="00000000" w14:paraId="0000001F">
      <w:pPr>
        <w:widowControl w:val="0"/>
        <w:spacing w:after="0" w:line="229" w:lineRule="auto"/>
        <w:ind w:left="720" w:right="25" w:firstLine="0"/>
        <w:rPr>
          <w:rFonts w:ascii="Arial" w:cs="Arial" w:eastAsia="Arial" w:hAnsi="Arial"/>
        </w:rPr>
      </w:pPr>
      <w:r w:rsidDel="00000000" w:rsidR="00000000" w:rsidRPr="00000000">
        <w:rPr>
          <w:rFonts w:ascii="Arial" w:cs="Arial" w:eastAsia="Arial" w:hAnsi="Arial"/>
          <w:rtl w:val="0"/>
        </w:rPr>
        <w:t xml:space="preserve">Shruti is a 17-year-old female residing at home with her biological parents. She reports she needs help because she is overthinking everything and thinks she has mental illness. Intrusive, obsessive thoughts started when she was 14 years old. She reports watching a television show about sex offenders and began to think that she would engage in the behaviours she saw on the TV show. She reports thoughts that she might hurt or kill her parents and she was very frightened by these thoughts. She started having suicidal thoughts so that she wouldn’t hurt other people and felt the need to punish herself for those thoughts. She tries to distract herself with other thoughts in order to avoid the homicidal and suicidal thoughts. She denies any history of self-injurious behaviour or eating disorders. </w:t>
      </w:r>
    </w:p>
    <w:p w:rsidR="00000000" w:rsidDel="00000000" w:rsidP="00000000" w:rsidRDefault="00000000" w:rsidRPr="00000000" w14:paraId="00000020">
      <w:pPr>
        <w:widowControl w:val="0"/>
        <w:spacing w:after="0" w:line="229" w:lineRule="auto"/>
        <w:ind w:right="25"/>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21">
      <w:pPr>
        <w:widowControl w:val="0"/>
        <w:spacing w:after="0" w:line="229" w:lineRule="auto"/>
        <w:ind w:right="25"/>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PART-E</w:t>
      </w:r>
    </w:p>
    <w:p w:rsidR="00000000" w:rsidDel="00000000" w:rsidP="00000000" w:rsidRDefault="00000000" w:rsidRPr="00000000" w14:paraId="00000022">
      <w:pPr>
        <w:widowControl w:val="0"/>
        <w:numPr>
          <w:ilvl w:val="0"/>
          <w:numId w:val="1"/>
        </w:numPr>
        <w:spacing w:after="0" w:line="229" w:lineRule="auto"/>
        <w:ind w:left="720" w:right="383" w:hanging="360"/>
        <w:rPr>
          <w:rFonts w:ascii="Arial" w:cs="Arial" w:eastAsia="Arial" w:hAnsi="Arial"/>
        </w:rPr>
      </w:pPr>
      <w:r w:rsidDel="00000000" w:rsidR="00000000" w:rsidRPr="00000000">
        <w:rPr>
          <w:rFonts w:ascii="Arial" w:cs="Arial" w:eastAsia="Arial" w:hAnsi="Arial"/>
          <w:rtl w:val="0"/>
        </w:rPr>
        <w:t xml:space="preserve">Discuss in detail the clinical features of bipolar disorders.</w:t>
      </w:r>
    </w:p>
    <w:p w:rsidR="00000000" w:rsidDel="00000000" w:rsidP="00000000" w:rsidRDefault="00000000" w:rsidRPr="00000000" w14:paraId="00000023">
      <w:pPr>
        <w:widowControl w:val="0"/>
        <w:spacing w:after="0" w:line="229" w:lineRule="auto"/>
        <w:ind w:left="720" w:right="383" w:firstLine="0"/>
        <w:jc w:val="center"/>
        <w:rPr>
          <w:rFonts w:ascii="Arial" w:cs="Arial" w:eastAsia="Arial" w:hAnsi="Arial"/>
        </w:rPr>
      </w:pPr>
      <w:r w:rsidDel="00000000" w:rsidR="00000000" w:rsidRPr="00000000">
        <w:rPr>
          <w:rFonts w:ascii="Arial" w:cs="Arial" w:eastAsia="Arial" w:hAnsi="Arial"/>
          <w:rtl w:val="0"/>
        </w:rPr>
        <w:t xml:space="preserve">OR</w:t>
      </w:r>
    </w:p>
    <w:p w:rsidR="00000000" w:rsidDel="00000000" w:rsidP="00000000" w:rsidRDefault="00000000" w:rsidRPr="00000000" w14:paraId="00000024">
      <w:pPr>
        <w:widowControl w:val="0"/>
        <w:numPr>
          <w:ilvl w:val="0"/>
          <w:numId w:val="1"/>
        </w:numPr>
        <w:spacing w:after="0" w:line="229" w:lineRule="auto"/>
        <w:ind w:left="720" w:right="383" w:hanging="360"/>
        <w:rPr>
          <w:rFonts w:ascii="Arial" w:cs="Arial" w:eastAsia="Arial" w:hAnsi="Arial"/>
        </w:rPr>
      </w:pPr>
      <w:r w:rsidDel="00000000" w:rsidR="00000000" w:rsidRPr="00000000">
        <w:rPr>
          <w:rFonts w:ascii="Arial" w:cs="Arial" w:eastAsia="Arial" w:hAnsi="Arial"/>
          <w:rtl w:val="0"/>
        </w:rPr>
        <w:t xml:space="preserve">Critically evaluate the similarities and differences in the presentation of cyclothymia and dysthymia. </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right"/>
      <w:rPr/>
    </w:pPr>
    <w:r w:rsidDel="00000000" w:rsidR="00000000" w:rsidRPr="00000000">
      <w:rPr>
        <w:rtl w:val="0"/>
      </w:rPr>
      <w:t xml:space="preserve">PY8421_A_23</w:t>
    </w:r>
  </w:p>
  <w:p w:rsidR="00000000" w:rsidDel="00000000" w:rsidP="00000000" w:rsidRDefault="00000000" w:rsidRPr="00000000" w14:paraId="0000002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19051</wp:posOffset>
          </wp:positionV>
          <wp:extent cx="1014413" cy="952933"/>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4413" cy="9529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