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3EBA" w14:textId="36B5B398" w:rsidR="00201633" w:rsidRDefault="00201633" w:rsidP="00201633">
      <w:pPr>
        <w:rPr>
          <w:rFonts w:ascii="Arial" w:hAnsi="Arial" w:cs="Arial"/>
          <w:b/>
          <w:lang w:val="en-US"/>
        </w:rPr>
      </w:pPr>
      <w:r w:rsidRPr="00B35F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4086" wp14:editId="0B6E6B90">
                <wp:simplePos x="0" y="0"/>
                <wp:positionH relativeFrom="margin">
                  <wp:posOffset>4150849</wp:posOffset>
                </wp:positionH>
                <wp:positionV relativeFrom="paragraph">
                  <wp:posOffset>52705</wp:posOffset>
                </wp:positionV>
                <wp:extent cx="1950720" cy="635000"/>
                <wp:effectExtent l="0" t="0" r="1143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2E5C" w14:textId="77777777" w:rsidR="00201633" w:rsidRDefault="00201633" w:rsidP="0020163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4FB255AA" w14:textId="77777777" w:rsidR="00201633" w:rsidRDefault="00201633" w:rsidP="0020163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340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.85pt;margin-top:4.15pt;width:153.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ST1EQIAAB0EAAAOAAAAZHJzL2Uyb0RvYy54bWysU1Fv0zAQfkfiP1h+p0lLO9ao6TQ2ipAG&#13;&#10;Qxr8gIvjJBaOz9huk/57zm7XliFeEHmwfLnzd999d7e6GXvNdtJ5habk00nOmTQCa2Xakn//tnlz&#13;&#10;zZkPYGrQaGTJ99Lzm/XrV6vBFnKGHepaOkYgxheDLXkXgi2yzItO9uAnaKUhZ4Ouh0Cma7PawUDo&#13;&#10;vc5meX6VDehq61BI7+nv/cHJ1wm/aaQIj03jZWC65MQtpNOls4pntl5B0TqwnRJHGvAPLHpQhpKe&#13;&#10;oO4hANs69QdUr4RDj02YCOwzbBolZKqBqpnmL6p56sDKVAuJ4+1JJv//YMWX3ZP96lgY3+NIDUxF&#13;&#10;ePuA4odnBu86MK28dQ6HTkJNiadRsmywvjg+jVL7wkeQaviMNTUZtgET0Ni4PqpCdTJCpwbsT6LL&#13;&#10;MTARUy4X+bsZuQT5rt4u8jx1JYPi+bV1PnyU2LN4KbmjpiZ02D34ENlA8RwSk3nUqt4orZPh2upO&#13;&#10;O7YDGoBN+lIBL8K0YUPJl4vZ4iDAXyGI3Zngb5l6FWiStepLfn0KgiLK9sHUac4CKH24E2VtjjpG&#13;&#10;6Q4ihrEaKTDqWWG9J0Vps8IjHY1G4ie0spwNNK0l9z+34CRn+pOhriyn83kc72TMF0lPd+mpLj1g&#13;&#10;RIe0BIGzrXWq7UjVQ+cN3lLvGpVkPfM4MqUZTGof9yUO+aWdos5bvf4FAAD//wMAUEsDBBQABgAI&#13;&#10;AAAAIQDKEc2s4QAAAA4BAAAPAAAAZHJzL2Rvd25yZXYueG1sTE/LTsMwELwj8Q/WInFB1IZA2qRx&#13;&#10;KgQCwQ3aCq5uvE0i/Ai2m4a/ZznBZaXdmZ1HtZqsYSOG2Hsn4WomgKFrvO5dK2G7ebxcAItJOa2M&#13;&#10;dyjhGyOs6tOTSpXaH90bjuvUMhJxsVQSupSGkvPYdGhVnPkBHWF7H6xKtIaW66COJG4NvxYi51b1&#13;&#10;jhw6NeB9h83n+mAlLG6ex4/4kr2+N/neFOliPj59BSnPz6aHJY27JbCEU/r7gN8OlB9qCrbzB6cj&#13;&#10;MxLy22xOVFLMgBFe5KIAtiOioAuvK/6/Rv0DAAD//wMAUEsBAi0AFAAGAAgAAAAhALaDOJL+AAAA&#13;&#10;4QEAABMAAAAAAAAAAAAAAAAAAAAAAFtDb250ZW50X1R5cGVzXS54bWxQSwECLQAUAAYACAAAACEA&#13;&#10;OP0h/9YAAACUAQAACwAAAAAAAAAAAAAAAAAvAQAAX3JlbHMvLnJlbHNQSwECLQAUAAYACAAAACEA&#13;&#10;nvEk9RECAAAdBAAADgAAAAAAAAAAAAAAAAAuAgAAZHJzL2Uyb0RvYy54bWxQSwECLQAUAAYACAAA&#13;&#10;ACEAyhHNrOEAAAAOAQAADwAAAAAAAAAAAAAAAABrBAAAZHJzL2Rvd25yZXYueG1sUEsFBgAAAAAE&#13;&#10;AAQA8wAAAHkFAAAAAA==&#13;&#10;">
                <v:textbox>
                  <w:txbxContent>
                    <w:p w14:paraId="434F2E5C" w14:textId="77777777" w:rsidR="00201633" w:rsidRDefault="00201633" w:rsidP="00201633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4FB255AA" w14:textId="77777777" w:rsidR="00201633" w:rsidRDefault="00201633" w:rsidP="00201633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524F482D" wp14:editId="6C9B5C62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9356C">
        <w:rPr>
          <w:rFonts w:ascii="Arial" w:hAnsi="Arial" w:cs="Arial"/>
        </w:rPr>
        <w:tab/>
      </w:r>
      <w:r w:rsidRPr="0039356C">
        <w:rPr>
          <w:rFonts w:ascii="Arial" w:hAnsi="Arial" w:cs="Arial"/>
        </w:rPr>
        <w:tab/>
      </w:r>
      <w:r w:rsidRPr="0039356C">
        <w:rPr>
          <w:rFonts w:ascii="Arial" w:hAnsi="Arial" w:cs="Arial"/>
        </w:rPr>
        <w:tab/>
      </w:r>
    </w:p>
    <w:p w14:paraId="673D0E62" w14:textId="77777777" w:rsidR="00201633" w:rsidRDefault="00201633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94A2E0" w14:textId="77777777" w:rsidR="00201633" w:rsidRDefault="00201633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6C344F" w14:textId="77777777" w:rsidR="00201633" w:rsidRDefault="00201633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663EEDB" w14:textId="77777777" w:rsidR="00201633" w:rsidRDefault="00201633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C2C379" w14:textId="561FA0AD" w:rsidR="00A92A2D" w:rsidRPr="002153C2" w:rsidRDefault="008109A8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2153C2">
        <w:rPr>
          <w:rFonts w:ascii="Arial" w:eastAsia="Arial" w:hAnsi="Arial" w:cs="Arial"/>
          <w:b/>
        </w:rPr>
        <w:t xml:space="preserve">ST JOSEPH’S </w:t>
      </w:r>
      <w:r w:rsidR="00DB0E7C">
        <w:rPr>
          <w:rFonts w:ascii="Arial" w:eastAsia="Arial" w:hAnsi="Arial" w:cs="Arial"/>
          <w:b/>
        </w:rPr>
        <w:t>UNIVERS</w:t>
      </w:r>
      <w:r w:rsidR="00201633">
        <w:rPr>
          <w:rFonts w:ascii="Arial" w:eastAsia="Arial" w:hAnsi="Arial" w:cs="Arial"/>
          <w:b/>
        </w:rPr>
        <w:t>I</w:t>
      </w:r>
      <w:r w:rsidR="00DB0E7C">
        <w:rPr>
          <w:rFonts w:ascii="Arial" w:eastAsia="Arial" w:hAnsi="Arial" w:cs="Arial"/>
          <w:b/>
        </w:rPr>
        <w:t>TY</w:t>
      </w:r>
      <w:r w:rsidR="00201633">
        <w:rPr>
          <w:rFonts w:ascii="Arial" w:eastAsia="Arial" w:hAnsi="Arial" w:cs="Arial"/>
          <w:b/>
        </w:rPr>
        <w:t>,</w:t>
      </w:r>
      <w:r w:rsidRPr="002153C2">
        <w:rPr>
          <w:rFonts w:ascii="Arial" w:eastAsia="Arial" w:hAnsi="Arial" w:cs="Arial"/>
          <w:b/>
        </w:rPr>
        <w:t xml:space="preserve"> BENGALURU -27</w:t>
      </w:r>
    </w:p>
    <w:p w14:paraId="06D1DD37" w14:textId="28CD90B5" w:rsidR="00A92A2D" w:rsidRPr="002153C2" w:rsidRDefault="00AF7048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2153C2">
        <w:rPr>
          <w:rFonts w:ascii="Arial" w:eastAsia="Arial" w:hAnsi="Arial" w:cs="Arial"/>
          <w:b/>
        </w:rPr>
        <w:t>B. COMIFA</w:t>
      </w:r>
      <w:r w:rsidR="008109A8" w:rsidRPr="002153C2">
        <w:rPr>
          <w:rFonts w:ascii="Arial" w:eastAsia="Arial" w:hAnsi="Arial" w:cs="Arial"/>
          <w:b/>
        </w:rPr>
        <w:t>– III SEMESTER</w:t>
      </w:r>
    </w:p>
    <w:p w14:paraId="3C203BF5" w14:textId="77777777" w:rsidR="00A92A2D" w:rsidRPr="002153C2" w:rsidRDefault="008109A8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2153C2">
        <w:rPr>
          <w:rFonts w:ascii="Arial" w:eastAsia="Arial" w:hAnsi="Arial" w:cs="Arial"/>
          <w:b/>
        </w:rPr>
        <w:t>SEMESTER EXAMINATION: OCTOBER 2022</w:t>
      </w:r>
    </w:p>
    <w:p w14:paraId="3BA8E997" w14:textId="77777777" w:rsidR="00A92A2D" w:rsidRPr="002153C2" w:rsidRDefault="008109A8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2153C2">
        <w:rPr>
          <w:rFonts w:ascii="Arial" w:eastAsia="Arial" w:hAnsi="Arial" w:cs="Arial"/>
          <w:b/>
        </w:rPr>
        <w:t>(Examination conducted in December 2022)</w:t>
      </w:r>
    </w:p>
    <w:p w14:paraId="1CDF0BF1" w14:textId="00D47BCF" w:rsidR="00A92A2D" w:rsidRDefault="00C21D2C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  <w:lang w:val="en-IN"/>
        </w:rPr>
      </w:pPr>
      <w:r w:rsidRPr="00C21D2C">
        <w:rPr>
          <w:rFonts w:ascii="Arial" w:eastAsia="Arial" w:hAnsi="Arial" w:cs="Arial"/>
          <w:b/>
          <w:u w:val="single"/>
          <w:lang w:val="en-IN"/>
        </w:rPr>
        <w:t xml:space="preserve">BCIFA 3123 </w:t>
      </w:r>
      <w:r w:rsidR="003830E5" w:rsidRPr="00C21D2C">
        <w:rPr>
          <w:rFonts w:ascii="Arial" w:eastAsia="Arial" w:hAnsi="Arial" w:cs="Arial"/>
          <w:b/>
          <w:u w:val="single"/>
          <w:lang w:val="en-IN"/>
        </w:rPr>
        <w:t xml:space="preserve">FINANCIAL REPORTING </w:t>
      </w:r>
      <w:r w:rsidRPr="00C21D2C">
        <w:rPr>
          <w:rFonts w:ascii="Arial" w:eastAsia="Arial" w:hAnsi="Arial" w:cs="Arial"/>
          <w:b/>
          <w:u w:val="single"/>
          <w:lang w:val="en-IN"/>
        </w:rPr>
        <w:t>II</w:t>
      </w:r>
    </w:p>
    <w:p w14:paraId="4463C5F6" w14:textId="77777777" w:rsidR="00B32861" w:rsidRDefault="00B32861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  <w:lang w:val="en-IN"/>
        </w:rPr>
      </w:pPr>
    </w:p>
    <w:p w14:paraId="37CB0EC3" w14:textId="77777777" w:rsidR="00B32861" w:rsidRDefault="00B32861" w:rsidP="00B32861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27A458D" w14:textId="77777777" w:rsidR="00B32861" w:rsidRPr="00C21D2C" w:rsidRDefault="00B32861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3D9EE99" w14:textId="77777777" w:rsidR="00A92A2D" w:rsidRPr="002153C2" w:rsidRDefault="008109A8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2153C2">
        <w:rPr>
          <w:rFonts w:ascii="Arial" w:eastAsia="Arial" w:hAnsi="Arial" w:cs="Arial"/>
          <w:b/>
        </w:rPr>
        <w:t>Time: 2 Hours</w:t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</w:r>
      <w:r w:rsidRPr="002153C2">
        <w:rPr>
          <w:rFonts w:ascii="Arial" w:eastAsia="Arial" w:hAnsi="Arial" w:cs="Arial"/>
          <w:b/>
        </w:rPr>
        <w:tab/>
        <w:t xml:space="preserve">    Max Marks: 60</w:t>
      </w:r>
    </w:p>
    <w:p w14:paraId="4AA33973" w14:textId="4591A50D" w:rsidR="00A92A2D" w:rsidRPr="002153C2" w:rsidRDefault="008109A8" w:rsidP="002153C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2153C2">
        <w:rPr>
          <w:rFonts w:ascii="Arial" w:eastAsia="Arial" w:hAnsi="Arial" w:cs="Arial"/>
          <w:b/>
        </w:rPr>
        <w:t xml:space="preserve">This paper contains </w:t>
      </w:r>
      <w:r w:rsidR="00F71D06">
        <w:rPr>
          <w:rFonts w:ascii="Arial" w:eastAsia="Arial" w:hAnsi="Arial" w:cs="Arial"/>
          <w:b/>
        </w:rPr>
        <w:t>four</w:t>
      </w:r>
      <w:r w:rsidR="00120DD4" w:rsidRPr="002153C2">
        <w:rPr>
          <w:rFonts w:ascii="Arial" w:eastAsia="Arial" w:hAnsi="Arial" w:cs="Arial"/>
          <w:b/>
        </w:rPr>
        <w:t xml:space="preserve"> </w:t>
      </w:r>
      <w:r w:rsidRPr="002153C2">
        <w:rPr>
          <w:rFonts w:ascii="Arial" w:eastAsia="Arial" w:hAnsi="Arial" w:cs="Arial"/>
          <w:b/>
        </w:rPr>
        <w:t xml:space="preserve">printed pages and </w:t>
      </w:r>
      <w:r w:rsidR="00120DD4" w:rsidRPr="002153C2">
        <w:rPr>
          <w:rFonts w:ascii="Arial" w:eastAsia="Arial" w:hAnsi="Arial" w:cs="Arial"/>
          <w:b/>
        </w:rPr>
        <w:t xml:space="preserve">four </w:t>
      </w:r>
      <w:r w:rsidRPr="002153C2">
        <w:rPr>
          <w:rFonts w:ascii="Arial" w:eastAsia="Arial" w:hAnsi="Arial" w:cs="Arial"/>
          <w:b/>
        </w:rPr>
        <w:t>parts</w:t>
      </w:r>
    </w:p>
    <w:p w14:paraId="72DFD0C2" w14:textId="77777777" w:rsidR="00A92A2D" w:rsidRPr="002153C2" w:rsidRDefault="00A92A2D" w:rsidP="002153C2">
      <w:pPr>
        <w:pStyle w:val="Normal1"/>
        <w:spacing w:after="0" w:line="259" w:lineRule="auto"/>
        <w:jc w:val="both"/>
        <w:rPr>
          <w:rFonts w:ascii="Arial" w:eastAsia="Arial" w:hAnsi="Arial" w:cs="Arial"/>
          <w:b/>
        </w:rPr>
      </w:pPr>
    </w:p>
    <w:p w14:paraId="0F589678" w14:textId="77777777" w:rsidR="008109A8" w:rsidRPr="002153C2" w:rsidRDefault="008109A8" w:rsidP="002153C2">
      <w:pPr>
        <w:jc w:val="center"/>
        <w:rPr>
          <w:rFonts w:ascii="Arial" w:hAnsi="Arial" w:cs="Arial"/>
          <w:b/>
        </w:rPr>
      </w:pPr>
      <w:r w:rsidRPr="002153C2">
        <w:rPr>
          <w:rFonts w:ascii="Arial" w:hAnsi="Arial" w:cs="Arial"/>
          <w:b/>
        </w:rPr>
        <w:t>Section A</w:t>
      </w:r>
    </w:p>
    <w:p w14:paraId="61835150" w14:textId="214D9F18" w:rsidR="008109A8" w:rsidRPr="00985766" w:rsidRDefault="008109A8" w:rsidP="00985766">
      <w:pPr>
        <w:jc w:val="both"/>
        <w:rPr>
          <w:rFonts w:ascii="Arial" w:hAnsi="Arial" w:cs="Arial"/>
          <w:b/>
        </w:rPr>
      </w:pPr>
      <w:r w:rsidRPr="002153C2">
        <w:rPr>
          <w:rFonts w:ascii="Arial" w:hAnsi="Arial" w:cs="Arial"/>
        </w:rPr>
        <w:t xml:space="preserve">I. Answer any </w:t>
      </w:r>
      <w:r w:rsidRPr="002153C2">
        <w:rPr>
          <w:rFonts w:ascii="Arial" w:hAnsi="Arial" w:cs="Arial"/>
          <w:b/>
        </w:rPr>
        <w:t xml:space="preserve">five </w:t>
      </w:r>
      <w:r w:rsidRPr="002153C2">
        <w:rPr>
          <w:rFonts w:ascii="Arial" w:hAnsi="Arial" w:cs="Arial"/>
        </w:rPr>
        <w:t>of the following</w:t>
      </w:r>
      <w:r w:rsidRPr="002153C2">
        <w:rPr>
          <w:rFonts w:ascii="Arial" w:hAnsi="Arial" w:cs="Arial"/>
        </w:rPr>
        <w:tab/>
      </w:r>
      <w:r w:rsidRPr="002153C2">
        <w:rPr>
          <w:rFonts w:ascii="Arial" w:hAnsi="Arial" w:cs="Arial"/>
          <w:b/>
        </w:rPr>
        <w:tab/>
      </w:r>
      <w:r w:rsidRPr="002153C2">
        <w:rPr>
          <w:rFonts w:ascii="Arial" w:hAnsi="Arial" w:cs="Arial"/>
          <w:b/>
        </w:rPr>
        <w:tab/>
      </w:r>
      <w:r w:rsidRPr="002153C2">
        <w:rPr>
          <w:rFonts w:ascii="Arial" w:hAnsi="Arial" w:cs="Arial"/>
          <w:b/>
        </w:rPr>
        <w:tab/>
        <w:t xml:space="preserve">          </w:t>
      </w:r>
      <w:r w:rsidR="009C6E9C">
        <w:rPr>
          <w:rFonts w:ascii="Arial" w:hAnsi="Arial" w:cs="Arial"/>
          <w:b/>
        </w:rPr>
        <w:tab/>
      </w:r>
      <w:r w:rsidR="009C6E9C">
        <w:rPr>
          <w:rFonts w:ascii="Arial" w:hAnsi="Arial" w:cs="Arial"/>
          <w:b/>
        </w:rPr>
        <w:tab/>
      </w:r>
      <w:proofErr w:type="gramStart"/>
      <w:r w:rsidRPr="002153C2">
        <w:rPr>
          <w:rFonts w:ascii="Arial" w:hAnsi="Arial" w:cs="Arial"/>
          <w:b/>
        </w:rPr>
        <w:t xml:space="preserve">   (</w:t>
      </w:r>
      <w:proofErr w:type="gramEnd"/>
      <w:r w:rsidRPr="002153C2">
        <w:rPr>
          <w:rFonts w:ascii="Arial" w:hAnsi="Arial" w:cs="Arial"/>
          <w:b/>
        </w:rPr>
        <w:t xml:space="preserve">5 X </w:t>
      </w:r>
      <w:r w:rsidR="00912568" w:rsidRPr="002153C2">
        <w:rPr>
          <w:rFonts w:ascii="Arial" w:hAnsi="Arial" w:cs="Arial"/>
          <w:b/>
        </w:rPr>
        <w:t>3</w:t>
      </w:r>
      <w:r w:rsidRPr="002153C2">
        <w:rPr>
          <w:rFonts w:ascii="Arial" w:hAnsi="Arial" w:cs="Arial"/>
          <w:b/>
        </w:rPr>
        <w:t xml:space="preserve"> = 1</w:t>
      </w:r>
      <w:r w:rsidR="00912568" w:rsidRPr="002153C2">
        <w:rPr>
          <w:rFonts w:ascii="Arial" w:hAnsi="Arial" w:cs="Arial"/>
          <w:b/>
        </w:rPr>
        <w:t>5</w:t>
      </w:r>
      <w:r w:rsidRPr="002153C2">
        <w:rPr>
          <w:rFonts w:ascii="Arial" w:hAnsi="Arial" w:cs="Arial"/>
          <w:b/>
        </w:rPr>
        <w:t>marks)</w:t>
      </w:r>
    </w:p>
    <w:p w14:paraId="56E562AF" w14:textId="5FC80CC0" w:rsidR="00F27DAB" w:rsidRDefault="00912453" w:rsidP="00F27DAB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</w:t>
      </w:r>
      <w:r w:rsidR="008630EC" w:rsidRPr="00663D6A">
        <w:rPr>
          <w:rFonts w:ascii="Arial" w:eastAsia="Arial" w:hAnsi="Arial" w:cs="Arial"/>
        </w:rPr>
        <w:t xml:space="preserve"> Historic rate, Closing rate and Average rate as per IAS 21.</w:t>
      </w:r>
    </w:p>
    <w:p w14:paraId="1827187D" w14:textId="6F65E3A3" w:rsidR="009C6E9C" w:rsidRPr="00663D6A" w:rsidRDefault="009C6E9C" w:rsidP="00F27DAB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diluted EPS?</w:t>
      </w:r>
    </w:p>
    <w:p w14:paraId="3AA2D68A" w14:textId="51BC082B" w:rsidR="002A3A4D" w:rsidRDefault="002A3A4D" w:rsidP="00F27DAB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9C6E9C">
        <w:rPr>
          <w:rFonts w:ascii="Arial" w:eastAsia="Arial" w:hAnsi="Arial" w:cs="Arial"/>
        </w:rPr>
        <w:t>rite down</w:t>
      </w:r>
      <w:r>
        <w:rPr>
          <w:rFonts w:ascii="Arial" w:eastAsia="Arial" w:hAnsi="Arial" w:cs="Arial"/>
        </w:rPr>
        <w:t xml:space="preserve"> the three elements of control identified as per IFRS 10</w:t>
      </w:r>
      <w:r w:rsidR="009C6E9C">
        <w:rPr>
          <w:rFonts w:ascii="Arial" w:eastAsia="Arial" w:hAnsi="Arial" w:cs="Arial"/>
        </w:rPr>
        <w:t>.</w:t>
      </w:r>
    </w:p>
    <w:p w14:paraId="0269CD31" w14:textId="7F56A91E" w:rsidR="00F27DAB" w:rsidRPr="00F27DAB" w:rsidRDefault="00F27DAB" w:rsidP="00F27DAB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7DAB">
        <w:rPr>
          <w:rFonts w:ascii="Arial" w:eastAsia="Arial" w:hAnsi="Arial" w:cs="Arial"/>
        </w:rPr>
        <w:t>AB has owned 80% of CD for many years. In the current year ended 30 June 20X3, AB has reported total revenues of $5.5 million, and CD of $2.1 million. AB has sold goods to CD during the year with a total value of $1 million, earning a margin of 20%. Half of these goods remain in year</w:t>
      </w:r>
      <w:r>
        <w:rPr>
          <w:rFonts w:ascii="Arial" w:eastAsia="Arial" w:hAnsi="Arial" w:cs="Arial"/>
        </w:rPr>
        <w:t>-</w:t>
      </w:r>
      <w:r w:rsidRPr="00F27DAB">
        <w:rPr>
          <w:rFonts w:ascii="Arial" w:eastAsia="Arial" w:hAnsi="Arial" w:cs="Arial"/>
        </w:rPr>
        <w:t xml:space="preserve">end inventories. What is the consolidated revenue figure for the AB group for the year ended 30 June 20X3? </w:t>
      </w:r>
    </w:p>
    <w:p w14:paraId="0AA36416" w14:textId="0942439F" w:rsidR="004E23DF" w:rsidRPr="002153C2" w:rsidRDefault="002A3A4D" w:rsidP="002A3A4D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E7C">
        <w:rPr>
          <w:rFonts w:ascii="Arial" w:hAnsi="Arial" w:cs="Arial"/>
          <w:sz w:val="22"/>
          <w:szCs w:val="22"/>
        </w:rPr>
        <w:t>Differentiate</w:t>
      </w:r>
      <w:r>
        <w:rPr>
          <w:rFonts w:ascii="Arial" w:hAnsi="Arial" w:cs="Arial"/>
          <w:sz w:val="22"/>
          <w:szCs w:val="22"/>
        </w:rPr>
        <w:t xml:space="preserve"> between positive and negative goodwill.</w:t>
      </w:r>
    </w:p>
    <w:p w14:paraId="5D719D0F" w14:textId="07A1B6FC" w:rsidR="00570219" w:rsidRPr="00DB5AE3" w:rsidRDefault="001A7738" w:rsidP="00F27DAB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B5AE3">
        <w:rPr>
          <w:rFonts w:ascii="Arial" w:eastAsia="Arial" w:hAnsi="Arial" w:cs="Arial"/>
        </w:rPr>
        <w:t>Identify the purpose of consolidated accounts for a group.</w:t>
      </w:r>
    </w:p>
    <w:p w14:paraId="3606C204" w14:textId="77777777" w:rsidR="008109A8" w:rsidRPr="002153C2" w:rsidRDefault="008109A8" w:rsidP="002153C2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3C4DEC18" w14:textId="77777777" w:rsidR="008109A8" w:rsidRPr="002153C2" w:rsidRDefault="008109A8" w:rsidP="002153C2">
      <w:pPr>
        <w:jc w:val="center"/>
        <w:rPr>
          <w:rFonts w:ascii="Arial" w:hAnsi="Arial" w:cs="Arial"/>
          <w:b/>
        </w:rPr>
      </w:pPr>
      <w:r w:rsidRPr="002153C2">
        <w:rPr>
          <w:rFonts w:ascii="Arial" w:hAnsi="Arial" w:cs="Arial"/>
          <w:b/>
        </w:rPr>
        <w:t>Section B</w:t>
      </w:r>
    </w:p>
    <w:p w14:paraId="146729FD" w14:textId="14BCC9F1" w:rsidR="008109A8" w:rsidRPr="002153C2" w:rsidRDefault="008109A8" w:rsidP="002153C2">
      <w:pPr>
        <w:jc w:val="both"/>
        <w:rPr>
          <w:rFonts w:ascii="Arial" w:hAnsi="Arial" w:cs="Arial"/>
          <w:b/>
        </w:rPr>
      </w:pPr>
      <w:r w:rsidRPr="002153C2">
        <w:rPr>
          <w:rFonts w:ascii="Arial" w:hAnsi="Arial" w:cs="Arial"/>
        </w:rPr>
        <w:t xml:space="preserve">II. Answer any </w:t>
      </w:r>
      <w:r w:rsidRPr="002153C2">
        <w:rPr>
          <w:rFonts w:ascii="Arial" w:hAnsi="Arial" w:cs="Arial"/>
          <w:b/>
        </w:rPr>
        <w:t>t</w:t>
      </w:r>
      <w:r w:rsidR="00912568" w:rsidRPr="002153C2">
        <w:rPr>
          <w:rFonts w:ascii="Arial" w:hAnsi="Arial" w:cs="Arial"/>
          <w:b/>
        </w:rPr>
        <w:t>wo</w:t>
      </w:r>
      <w:r w:rsidRPr="002153C2">
        <w:rPr>
          <w:rFonts w:ascii="Arial" w:hAnsi="Arial" w:cs="Arial"/>
        </w:rPr>
        <w:t xml:space="preserve"> of the following </w:t>
      </w:r>
      <w:r w:rsidRPr="002153C2">
        <w:rPr>
          <w:rFonts w:ascii="Arial" w:hAnsi="Arial" w:cs="Arial"/>
        </w:rPr>
        <w:tab/>
      </w:r>
      <w:r w:rsidRPr="002153C2">
        <w:rPr>
          <w:rFonts w:ascii="Arial" w:hAnsi="Arial" w:cs="Arial"/>
        </w:rPr>
        <w:tab/>
      </w:r>
      <w:r w:rsidRPr="002153C2">
        <w:rPr>
          <w:rFonts w:ascii="Arial" w:hAnsi="Arial" w:cs="Arial"/>
        </w:rPr>
        <w:tab/>
        <w:t xml:space="preserve">                      </w:t>
      </w:r>
      <w:r w:rsidR="00670393">
        <w:rPr>
          <w:rFonts w:ascii="Arial" w:hAnsi="Arial" w:cs="Arial"/>
        </w:rPr>
        <w:tab/>
      </w:r>
      <w:r w:rsidR="00670393">
        <w:rPr>
          <w:rFonts w:ascii="Arial" w:hAnsi="Arial" w:cs="Arial"/>
        </w:rPr>
        <w:tab/>
      </w:r>
      <w:r w:rsidRPr="002153C2">
        <w:rPr>
          <w:rFonts w:ascii="Arial" w:hAnsi="Arial" w:cs="Arial"/>
          <w:b/>
        </w:rPr>
        <w:t>(</w:t>
      </w:r>
      <w:r w:rsidR="00912568" w:rsidRPr="002153C2">
        <w:rPr>
          <w:rFonts w:ascii="Arial" w:hAnsi="Arial" w:cs="Arial"/>
          <w:b/>
        </w:rPr>
        <w:t>2</w:t>
      </w:r>
      <w:r w:rsidRPr="002153C2">
        <w:rPr>
          <w:rFonts w:ascii="Arial" w:hAnsi="Arial" w:cs="Arial"/>
          <w:b/>
        </w:rPr>
        <w:t xml:space="preserve"> x 5 = 1</w:t>
      </w:r>
      <w:r w:rsidR="00912568" w:rsidRPr="002153C2">
        <w:rPr>
          <w:rFonts w:ascii="Arial" w:hAnsi="Arial" w:cs="Arial"/>
          <w:b/>
        </w:rPr>
        <w:t>0</w:t>
      </w:r>
      <w:r w:rsidRPr="002153C2">
        <w:rPr>
          <w:rFonts w:ascii="Arial" w:hAnsi="Arial" w:cs="Arial"/>
          <w:b/>
        </w:rPr>
        <w:t xml:space="preserve"> marks)</w:t>
      </w:r>
    </w:p>
    <w:p w14:paraId="2318D0C0" w14:textId="27B3EC28" w:rsidR="00B63D2A" w:rsidRPr="00B63D2A" w:rsidRDefault="00670393" w:rsidP="00B63D2A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63D6A">
        <w:rPr>
          <w:rFonts w:ascii="Arial" w:hAnsi="Arial" w:cs="Arial"/>
          <w:sz w:val="22"/>
          <w:szCs w:val="22"/>
        </w:rPr>
        <w:t>On 1 January 20X6</w:t>
      </w:r>
      <w:r w:rsidRPr="00670393">
        <w:rPr>
          <w:rFonts w:ascii="Arial" w:hAnsi="Arial" w:cs="Arial"/>
          <w:sz w:val="22"/>
          <w:szCs w:val="22"/>
        </w:rPr>
        <w:t>, Sid</w:t>
      </w:r>
      <w:r w:rsidR="00925891">
        <w:rPr>
          <w:rFonts w:ascii="Arial" w:hAnsi="Arial" w:cs="Arial"/>
          <w:sz w:val="22"/>
          <w:szCs w:val="22"/>
        </w:rPr>
        <w:t>ebar</w:t>
      </w:r>
      <w:r w:rsidRPr="00670393">
        <w:rPr>
          <w:rFonts w:ascii="Arial" w:hAnsi="Arial" w:cs="Arial"/>
          <w:sz w:val="22"/>
          <w:szCs w:val="22"/>
        </w:rPr>
        <w:t xml:space="preserve"> sold a property for its fair value of $</w:t>
      </w:r>
      <w:r w:rsidR="00925891">
        <w:rPr>
          <w:rFonts w:ascii="Arial" w:hAnsi="Arial" w:cs="Arial"/>
          <w:sz w:val="22"/>
          <w:szCs w:val="22"/>
        </w:rPr>
        <w:t>4</w:t>
      </w:r>
      <w:r w:rsidRPr="00670393">
        <w:rPr>
          <w:rFonts w:ascii="Arial" w:hAnsi="Arial" w:cs="Arial"/>
          <w:sz w:val="22"/>
          <w:szCs w:val="22"/>
        </w:rPr>
        <w:t xml:space="preserve"> million, transferring title to the property on that date. Side</w:t>
      </w:r>
      <w:r w:rsidR="00925891">
        <w:rPr>
          <w:rFonts w:ascii="Arial" w:hAnsi="Arial" w:cs="Arial"/>
          <w:sz w:val="22"/>
          <w:szCs w:val="22"/>
        </w:rPr>
        <w:t>bar</w:t>
      </w:r>
      <w:r w:rsidRPr="00670393">
        <w:rPr>
          <w:rFonts w:ascii="Arial" w:hAnsi="Arial" w:cs="Arial"/>
          <w:sz w:val="22"/>
          <w:szCs w:val="22"/>
        </w:rPr>
        <w:t xml:space="preserve"> then leased it back under a 5</w:t>
      </w:r>
      <w:r w:rsidRPr="00670393">
        <w:rPr>
          <w:rFonts w:ascii="Cambria Math" w:hAnsi="Cambria Math" w:cs="Cambria Math"/>
          <w:sz w:val="22"/>
          <w:szCs w:val="22"/>
        </w:rPr>
        <w:t>‐</w:t>
      </w:r>
      <w:r w:rsidRPr="00670393">
        <w:rPr>
          <w:rFonts w:ascii="Arial" w:hAnsi="Arial" w:cs="Arial"/>
          <w:sz w:val="22"/>
          <w:szCs w:val="22"/>
        </w:rPr>
        <w:t>year lease, paying $</w:t>
      </w:r>
      <w:r w:rsidR="00925891">
        <w:rPr>
          <w:rFonts w:ascii="Arial" w:hAnsi="Arial" w:cs="Arial"/>
          <w:sz w:val="22"/>
          <w:szCs w:val="22"/>
        </w:rPr>
        <w:t>3,00</w:t>
      </w:r>
      <w:r w:rsidRPr="00670393">
        <w:rPr>
          <w:rFonts w:ascii="Arial" w:hAnsi="Arial" w:cs="Arial"/>
          <w:sz w:val="22"/>
          <w:szCs w:val="22"/>
        </w:rPr>
        <w:t>,000 per annum on 31 December each year. The present value of rentals payable was $</w:t>
      </w:r>
      <w:r w:rsidR="00925891">
        <w:rPr>
          <w:rFonts w:ascii="Arial" w:hAnsi="Arial" w:cs="Arial"/>
          <w:sz w:val="22"/>
          <w:szCs w:val="22"/>
        </w:rPr>
        <w:t>1,198</w:t>
      </w:r>
      <w:r w:rsidRPr="00670393">
        <w:rPr>
          <w:rFonts w:ascii="Arial" w:hAnsi="Arial" w:cs="Arial"/>
          <w:sz w:val="22"/>
          <w:szCs w:val="22"/>
        </w:rPr>
        <w:t>,000 and the interest rate implicit in the lease was 8%. The carrying amount of the property on 1 January 20X6 was $</w:t>
      </w:r>
      <w:r w:rsidR="00925891">
        <w:rPr>
          <w:rFonts w:ascii="Arial" w:hAnsi="Arial" w:cs="Arial"/>
          <w:sz w:val="22"/>
          <w:szCs w:val="22"/>
        </w:rPr>
        <w:t>3</w:t>
      </w:r>
      <w:r w:rsidR="004963B9">
        <w:rPr>
          <w:rFonts w:ascii="Arial" w:hAnsi="Arial" w:cs="Arial"/>
          <w:sz w:val="22"/>
          <w:szCs w:val="22"/>
        </w:rPr>
        <w:t>,</w:t>
      </w:r>
      <w:r w:rsidR="00925891">
        <w:rPr>
          <w:rFonts w:ascii="Arial" w:hAnsi="Arial" w:cs="Arial"/>
          <w:sz w:val="22"/>
          <w:szCs w:val="22"/>
        </w:rPr>
        <w:t>2</w:t>
      </w:r>
      <w:r w:rsidR="004963B9">
        <w:rPr>
          <w:rFonts w:ascii="Arial" w:hAnsi="Arial" w:cs="Arial"/>
          <w:sz w:val="22"/>
          <w:szCs w:val="22"/>
        </w:rPr>
        <w:t>00,000</w:t>
      </w:r>
      <w:r w:rsidRPr="00670393">
        <w:rPr>
          <w:rFonts w:ascii="Arial" w:hAnsi="Arial" w:cs="Arial"/>
          <w:sz w:val="22"/>
          <w:szCs w:val="22"/>
        </w:rPr>
        <w:t xml:space="preserve"> and it had a remaining useful life of 20 years. </w:t>
      </w:r>
      <w:r>
        <w:rPr>
          <w:rFonts w:ascii="Arial" w:hAnsi="Arial" w:cs="Arial"/>
          <w:sz w:val="22"/>
          <w:szCs w:val="22"/>
        </w:rPr>
        <w:t>Calculate depreciation and pass the journal entry on initial recognition.</w:t>
      </w:r>
    </w:p>
    <w:p w14:paraId="3ED8184E" w14:textId="5774D092" w:rsidR="00816132" w:rsidRPr="00816132" w:rsidRDefault="00816132" w:rsidP="00816132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</w:rPr>
      </w:pPr>
      <w:r w:rsidRPr="00663D6A">
        <w:rPr>
          <w:rFonts w:ascii="Arial" w:eastAsia="Arial" w:hAnsi="Arial" w:cs="Arial"/>
          <w:bCs/>
        </w:rPr>
        <w:t>VU</w:t>
      </w:r>
      <w:r w:rsidRPr="00816132">
        <w:rPr>
          <w:rFonts w:ascii="Arial" w:eastAsia="Arial" w:hAnsi="Arial" w:cs="Arial"/>
          <w:bCs/>
        </w:rPr>
        <w:t xml:space="preserve"> has an 80% subsidiary </w:t>
      </w:r>
      <w:r>
        <w:rPr>
          <w:rFonts w:ascii="Arial" w:eastAsia="Arial" w:hAnsi="Arial" w:cs="Arial"/>
          <w:bCs/>
        </w:rPr>
        <w:t>SONIE</w:t>
      </w:r>
      <w:r w:rsidRPr="00816132">
        <w:rPr>
          <w:rFonts w:ascii="Arial" w:eastAsia="Arial" w:hAnsi="Arial" w:cs="Arial"/>
          <w:bCs/>
        </w:rPr>
        <w:t xml:space="preserve">, which has been a subsidiary of </w:t>
      </w:r>
      <w:r>
        <w:rPr>
          <w:rFonts w:ascii="Arial" w:eastAsia="Arial" w:hAnsi="Arial" w:cs="Arial"/>
          <w:bCs/>
        </w:rPr>
        <w:t>VU</w:t>
      </w:r>
      <w:r w:rsidRPr="00816132">
        <w:rPr>
          <w:rFonts w:ascii="Arial" w:eastAsia="Arial" w:hAnsi="Arial" w:cs="Arial"/>
          <w:bCs/>
        </w:rPr>
        <w:t xml:space="preserve"> for the whole of the current year. </w:t>
      </w:r>
      <w:r>
        <w:rPr>
          <w:rFonts w:ascii="Arial" w:eastAsia="Arial" w:hAnsi="Arial" w:cs="Arial"/>
          <w:bCs/>
        </w:rPr>
        <w:t>SONIE</w:t>
      </w:r>
      <w:r w:rsidRPr="00816132">
        <w:rPr>
          <w:rFonts w:ascii="Arial" w:eastAsia="Arial" w:hAnsi="Arial" w:cs="Arial"/>
          <w:bCs/>
        </w:rPr>
        <w:t xml:space="preserve"> reported a profit after tax of $600,000 in its own financial statements. You ascertain that at the year</w:t>
      </w:r>
      <w:r>
        <w:rPr>
          <w:rFonts w:ascii="Arial" w:eastAsia="Arial" w:hAnsi="Arial" w:cs="Arial"/>
          <w:bCs/>
        </w:rPr>
        <w:t>-</w:t>
      </w:r>
      <w:r w:rsidRPr="00816132">
        <w:rPr>
          <w:rFonts w:ascii="Arial" w:eastAsia="Arial" w:hAnsi="Arial" w:cs="Arial"/>
          <w:bCs/>
        </w:rPr>
        <w:t xml:space="preserve">end there was </w:t>
      </w:r>
      <w:proofErr w:type="spellStart"/>
      <w:r w:rsidRPr="00816132">
        <w:rPr>
          <w:rFonts w:ascii="Arial" w:eastAsia="Arial" w:hAnsi="Arial" w:cs="Arial"/>
          <w:bCs/>
        </w:rPr>
        <w:t>unrealised</w:t>
      </w:r>
      <w:proofErr w:type="spellEnd"/>
      <w:r w:rsidRPr="00816132">
        <w:rPr>
          <w:rFonts w:ascii="Arial" w:eastAsia="Arial" w:hAnsi="Arial" w:cs="Arial"/>
          <w:bCs/>
        </w:rPr>
        <w:t xml:space="preserve"> profit of $60,000 on sales by </w:t>
      </w:r>
      <w:r>
        <w:rPr>
          <w:rFonts w:ascii="Arial" w:eastAsia="Arial" w:hAnsi="Arial" w:cs="Arial"/>
          <w:bCs/>
        </w:rPr>
        <w:t xml:space="preserve">SONIE </w:t>
      </w:r>
      <w:r w:rsidRPr="00816132">
        <w:rPr>
          <w:rFonts w:ascii="Arial" w:eastAsia="Arial" w:hAnsi="Arial" w:cs="Arial"/>
          <w:bCs/>
        </w:rPr>
        <w:t xml:space="preserve">to </w:t>
      </w:r>
      <w:r>
        <w:rPr>
          <w:rFonts w:ascii="Arial" w:eastAsia="Arial" w:hAnsi="Arial" w:cs="Arial"/>
          <w:bCs/>
        </w:rPr>
        <w:t>VU</w:t>
      </w:r>
      <w:r w:rsidRPr="00816132">
        <w:rPr>
          <w:rFonts w:ascii="Arial" w:eastAsia="Arial" w:hAnsi="Arial" w:cs="Arial"/>
          <w:bCs/>
        </w:rPr>
        <w:t xml:space="preserve">. </w:t>
      </w:r>
    </w:p>
    <w:p w14:paraId="525C7013" w14:textId="4E6DF842" w:rsidR="008A2B93" w:rsidRPr="008A2B93" w:rsidRDefault="00816132" w:rsidP="00816132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816132">
        <w:rPr>
          <w:rFonts w:ascii="Arial" w:eastAsia="Arial" w:hAnsi="Arial" w:cs="Arial"/>
          <w:bCs/>
        </w:rPr>
        <w:lastRenderedPageBreak/>
        <w:t>What is the non</w:t>
      </w:r>
      <w:r>
        <w:rPr>
          <w:rFonts w:ascii="Arial" w:eastAsia="Arial" w:hAnsi="Arial" w:cs="Arial"/>
          <w:bCs/>
        </w:rPr>
        <w:t>-</w:t>
      </w:r>
      <w:r w:rsidRPr="00816132">
        <w:rPr>
          <w:rFonts w:ascii="Arial" w:eastAsia="Arial" w:hAnsi="Arial" w:cs="Arial"/>
          <w:bCs/>
        </w:rPr>
        <w:t xml:space="preserve">controlling interest in </w:t>
      </w:r>
      <w:r>
        <w:rPr>
          <w:rFonts w:ascii="Arial" w:eastAsia="Arial" w:hAnsi="Arial" w:cs="Arial"/>
          <w:bCs/>
        </w:rPr>
        <w:t>SONIE</w:t>
      </w:r>
      <w:r w:rsidRPr="00816132">
        <w:rPr>
          <w:rFonts w:ascii="Arial" w:eastAsia="Arial" w:hAnsi="Arial" w:cs="Arial"/>
          <w:bCs/>
        </w:rPr>
        <w:t xml:space="preserve"> that would be reported in the consolidated statement of profit or loss and other comprehensive income of </w:t>
      </w:r>
      <w:r>
        <w:rPr>
          <w:rFonts w:ascii="Arial" w:eastAsia="Arial" w:hAnsi="Arial" w:cs="Arial"/>
          <w:bCs/>
        </w:rPr>
        <w:t>VU</w:t>
      </w:r>
      <w:r w:rsidRPr="00816132">
        <w:rPr>
          <w:rFonts w:ascii="Arial" w:eastAsia="Arial" w:hAnsi="Arial" w:cs="Arial"/>
          <w:bCs/>
        </w:rPr>
        <w:t xml:space="preserve"> for the year? </w:t>
      </w:r>
    </w:p>
    <w:p w14:paraId="3B4BFE7C" w14:textId="5EFC5FCD" w:rsidR="0053639D" w:rsidRPr="0053639D" w:rsidRDefault="0053639D" w:rsidP="00B63D2A">
      <w:pPr>
        <w:pStyle w:val="Normal1"/>
        <w:numPr>
          <w:ilvl w:val="0"/>
          <w:numId w:val="1"/>
        </w:numPr>
        <w:tabs>
          <w:tab w:val="left" w:pos="581"/>
        </w:tabs>
        <w:spacing w:after="0"/>
        <w:jc w:val="both"/>
        <w:rPr>
          <w:rFonts w:ascii="Arial" w:hAnsi="Arial" w:cs="Arial"/>
          <w:bCs/>
        </w:rPr>
      </w:pPr>
      <w:r w:rsidRPr="00663D6A">
        <w:rPr>
          <w:rFonts w:ascii="Arial" w:hAnsi="Arial" w:cs="Arial"/>
          <w:bCs/>
        </w:rPr>
        <w:t>Be</w:t>
      </w:r>
      <w:r w:rsidR="007578FD" w:rsidRPr="00663D6A">
        <w:rPr>
          <w:rFonts w:ascii="Arial" w:hAnsi="Arial" w:cs="Arial"/>
          <w:bCs/>
        </w:rPr>
        <w:t>atles</w:t>
      </w:r>
      <w:r w:rsidRPr="0053639D">
        <w:rPr>
          <w:rFonts w:ascii="Arial" w:hAnsi="Arial" w:cs="Arial"/>
          <w:bCs/>
        </w:rPr>
        <w:t xml:space="preserve"> bought 30% of A</w:t>
      </w:r>
      <w:r w:rsidR="007578FD">
        <w:rPr>
          <w:rFonts w:ascii="Arial" w:hAnsi="Arial" w:cs="Arial"/>
          <w:bCs/>
        </w:rPr>
        <w:t>bba</w:t>
      </w:r>
      <w:r w:rsidRPr="0053639D">
        <w:rPr>
          <w:rFonts w:ascii="Arial" w:hAnsi="Arial" w:cs="Arial"/>
          <w:bCs/>
        </w:rPr>
        <w:t xml:space="preserve"> on 1 January 20X8, when A</w:t>
      </w:r>
      <w:r w:rsidR="007578FD">
        <w:rPr>
          <w:rFonts w:ascii="Arial" w:hAnsi="Arial" w:cs="Arial"/>
          <w:bCs/>
        </w:rPr>
        <w:t>bba</w:t>
      </w:r>
      <w:r w:rsidRPr="0053639D">
        <w:rPr>
          <w:rFonts w:ascii="Arial" w:hAnsi="Arial" w:cs="Arial"/>
          <w:bCs/>
        </w:rPr>
        <w:t xml:space="preserve"> had share capital of</w:t>
      </w:r>
      <w:r w:rsidR="007E5009">
        <w:rPr>
          <w:rFonts w:ascii="Arial" w:hAnsi="Arial" w:cs="Arial"/>
          <w:bCs/>
        </w:rPr>
        <w:t xml:space="preserve"> </w:t>
      </w:r>
      <w:r w:rsidRPr="0053639D">
        <w:rPr>
          <w:rFonts w:ascii="Arial" w:hAnsi="Arial" w:cs="Arial"/>
          <w:bCs/>
        </w:rPr>
        <w:t>100,000 $1 shares and $400,000 retained earnings. The consideration comprised one Be</w:t>
      </w:r>
      <w:r w:rsidR="007578FD">
        <w:rPr>
          <w:rFonts w:ascii="Arial" w:hAnsi="Arial" w:cs="Arial"/>
          <w:bCs/>
        </w:rPr>
        <w:t>atles</w:t>
      </w:r>
      <w:r w:rsidRPr="0053639D">
        <w:rPr>
          <w:rFonts w:ascii="Arial" w:hAnsi="Arial" w:cs="Arial"/>
          <w:bCs/>
        </w:rPr>
        <w:t xml:space="preserve"> share for every 3 shares bought in A</w:t>
      </w:r>
      <w:r w:rsidR="007578FD">
        <w:rPr>
          <w:rFonts w:ascii="Arial" w:hAnsi="Arial" w:cs="Arial"/>
          <w:bCs/>
        </w:rPr>
        <w:t>bba</w:t>
      </w:r>
      <w:r w:rsidRPr="0053639D">
        <w:rPr>
          <w:rFonts w:ascii="Arial" w:hAnsi="Arial" w:cs="Arial"/>
          <w:bCs/>
        </w:rPr>
        <w:t>. At the date of acquisition, Be</w:t>
      </w:r>
      <w:r w:rsidR="007578FD">
        <w:rPr>
          <w:rFonts w:ascii="Arial" w:hAnsi="Arial" w:cs="Arial"/>
          <w:bCs/>
        </w:rPr>
        <w:t>atle</w:t>
      </w:r>
      <w:r w:rsidRPr="0053639D">
        <w:rPr>
          <w:rFonts w:ascii="Arial" w:hAnsi="Arial" w:cs="Arial"/>
          <w:bCs/>
        </w:rPr>
        <w:t>s</w:t>
      </w:r>
      <w:r w:rsidR="007578FD">
        <w:rPr>
          <w:rFonts w:ascii="Arial" w:hAnsi="Arial" w:cs="Arial"/>
          <w:bCs/>
        </w:rPr>
        <w:t>’</w:t>
      </w:r>
      <w:r w:rsidRPr="0053639D">
        <w:rPr>
          <w:rFonts w:ascii="Arial" w:hAnsi="Arial" w:cs="Arial"/>
          <w:bCs/>
        </w:rPr>
        <w:t xml:space="preserve"> shares had a market value of $4.50 and A</w:t>
      </w:r>
      <w:r w:rsidR="007578FD">
        <w:rPr>
          <w:rFonts w:ascii="Arial" w:hAnsi="Arial" w:cs="Arial"/>
          <w:bCs/>
        </w:rPr>
        <w:t>bba</w:t>
      </w:r>
      <w:r w:rsidRPr="0053639D">
        <w:rPr>
          <w:rFonts w:ascii="Arial" w:hAnsi="Arial" w:cs="Arial"/>
          <w:bCs/>
        </w:rPr>
        <w:t>’s had a market value of $2. At 31 December 20X8, A</w:t>
      </w:r>
      <w:r w:rsidR="007578FD">
        <w:rPr>
          <w:rFonts w:ascii="Arial" w:hAnsi="Arial" w:cs="Arial"/>
          <w:bCs/>
        </w:rPr>
        <w:t>bba</w:t>
      </w:r>
      <w:r w:rsidRPr="0053639D">
        <w:rPr>
          <w:rFonts w:ascii="Arial" w:hAnsi="Arial" w:cs="Arial"/>
          <w:bCs/>
        </w:rPr>
        <w:t>’s net assets were $460,000.</w:t>
      </w:r>
    </w:p>
    <w:p w14:paraId="51672632" w14:textId="6D6EBEB3" w:rsidR="00C0497B" w:rsidRDefault="0053639D" w:rsidP="0053639D">
      <w:pPr>
        <w:pStyle w:val="Normal1"/>
        <w:tabs>
          <w:tab w:val="left" w:pos="581"/>
        </w:tabs>
        <w:spacing w:after="0"/>
        <w:ind w:left="720"/>
        <w:jc w:val="both"/>
        <w:rPr>
          <w:rFonts w:ascii="Arial" w:hAnsi="Arial" w:cs="Arial"/>
          <w:bCs/>
        </w:rPr>
      </w:pPr>
      <w:r w:rsidRPr="0053639D">
        <w:rPr>
          <w:rFonts w:ascii="Arial" w:hAnsi="Arial" w:cs="Arial"/>
          <w:bCs/>
        </w:rPr>
        <w:t>What is the value of investment in associate shown in the consolidated statement of financial position as at 31 December 20X8?</w:t>
      </w:r>
    </w:p>
    <w:p w14:paraId="6BE6D744" w14:textId="77777777" w:rsidR="0053639D" w:rsidRPr="0053639D" w:rsidRDefault="0053639D" w:rsidP="0053639D">
      <w:pPr>
        <w:pStyle w:val="Normal1"/>
        <w:tabs>
          <w:tab w:val="left" w:pos="581"/>
        </w:tabs>
        <w:spacing w:after="0"/>
        <w:ind w:left="720"/>
        <w:jc w:val="both"/>
        <w:rPr>
          <w:rFonts w:ascii="Arial" w:hAnsi="Arial" w:cs="Arial"/>
          <w:bCs/>
        </w:rPr>
      </w:pPr>
    </w:p>
    <w:p w14:paraId="2988EBD4" w14:textId="42264663" w:rsidR="008109A8" w:rsidRPr="00570219" w:rsidRDefault="008109A8" w:rsidP="0053639D">
      <w:pPr>
        <w:pStyle w:val="Normal1"/>
        <w:tabs>
          <w:tab w:val="left" w:pos="581"/>
        </w:tabs>
        <w:spacing w:after="0"/>
        <w:ind w:left="720"/>
        <w:jc w:val="center"/>
        <w:rPr>
          <w:rFonts w:ascii="Arial" w:hAnsi="Arial" w:cs="Arial"/>
          <w:b/>
        </w:rPr>
      </w:pPr>
      <w:r w:rsidRPr="00570219">
        <w:rPr>
          <w:rFonts w:ascii="Arial" w:hAnsi="Arial" w:cs="Arial"/>
          <w:b/>
        </w:rPr>
        <w:t>Section C</w:t>
      </w:r>
    </w:p>
    <w:p w14:paraId="04CBF2B2" w14:textId="5B409D36" w:rsidR="008109A8" w:rsidRPr="002153C2" w:rsidRDefault="008109A8" w:rsidP="002153C2">
      <w:pPr>
        <w:jc w:val="both"/>
        <w:rPr>
          <w:rFonts w:ascii="Arial" w:hAnsi="Arial" w:cs="Arial"/>
          <w:b/>
        </w:rPr>
      </w:pPr>
      <w:r w:rsidRPr="002153C2">
        <w:rPr>
          <w:rFonts w:ascii="Arial" w:hAnsi="Arial" w:cs="Arial"/>
        </w:rPr>
        <w:t xml:space="preserve">III. Answer any </w:t>
      </w:r>
      <w:r w:rsidRPr="002153C2">
        <w:rPr>
          <w:rFonts w:ascii="Arial" w:hAnsi="Arial" w:cs="Arial"/>
          <w:b/>
        </w:rPr>
        <w:t>two</w:t>
      </w:r>
      <w:r w:rsidRPr="002153C2">
        <w:rPr>
          <w:rFonts w:ascii="Arial" w:hAnsi="Arial" w:cs="Arial"/>
        </w:rPr>
        <w:t xml:space="preserve"> of the following </w:t>
      </w:r>
      <w:r w:rsidRPr="002153C2">
        <w:rPr>
          <w:rFonts w:ascii="Arial" w:hAnsi="Arial" w:cs="Arial"/>
        </w:rPr>
        <w:tab/>
      </w:r>
      <w:r w:rsidRPr="002153C2">
        <w:rPr>
          <w:rFonts w:ascii="Arial" w:hAnsi="Arial" w:cs="Arial"/>
        </w:rPr>
        <w:tab/>
      </w:r>
      <w:r w:rsidRPr="002153C2">
        <w:rPr>
          <w:rFonts w:ascii="Arial" w:hAnsi="Arial" w:cs="Arial"/>
        </w:rPr>
        <w:tab/>
        <w:t xml:space="preserve">    </w:t>
      </w:r>
      <w:r w:rsidR="00113426">
        <w:rPr>
          <w:rFonts w:ascii="Arial" w:hAnsi="Arial" w:cs="Arial"/>
        </w:rPr>
        <w:tab/>
      </w:r>
      <w:r w:rsidRPr="002153C2">
        <w:rPr>
          <w:rFonts w:ascii="Arial" w:hAnsi="Arial" w:cs="Arial"/>
        </w:rPr>
        <w:t xml:space="preserve">               </w:t>
      </w:r>
      <w:r w:rsidR="009575C5">
        <w:rPr>
          <w:rFonts w:ascii="Arial" w:hAnsi="Arial" w:cs="Arial"/>
        </w:rPr>
        <w:tab/>
      </w:r>
      <w:r w:rsidRPr="002153C2">
        <w:rPr>
          <w:rFonts w:ascii="Arial" w:hAnsi="Arial" w:cs="Arial"/>
          <w:b/>
        </w:rPr>
        <w:t>(2 x 10 = 20 marks)</w:t>
      </w:r>
    </w:p>
    <w:p w14:paraId="674564BE" w14:textId="77777777" w:rsidR="008A2B93" w:rsidRDefault="008A2B93" w:rsidP="000033F7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</w:rPr>
      </w:pPr>
      <w:r w:rsidRPr="00663D6A">
        <w:rPr>
          <w:rFonts w:ascii="Arial" w:eastAsia="Arial" w:hAnsi="Arial" w:cs="Arial"/>
          <w:bCs/>
        </w:rPr>
        <w:t>The following trial balance</w:t>
      </w:r>
      <w:r w:rsidRPr="00570219">
        <w:rPr>
          <w:rFonts w:ascii="Arial" w:eastAsia="Arial" w:hAnsi="Arial" w:cs="Arial"/>
          <w:bCs/>
        </w:rPr>
        <w:t xml:space="preserve"> </w:t>
      </w:r>
      <w:r w:rsidRPr="0044061F">
        <w:rPr>
          <w:rFonts w:ascii="Arial" w:eastAsia="Arial" w:hAnsi="Arial" w:cs="Arial"/>
          <w:b/>
        </w:rPr>
        <w:t xml:space="preserve">extracts </w:t>
      </w:r>
      <w:r>
        <w:rPr>
          <w:rFonts w:ascii="Arial" w:eastAsia="Arial" w:hAnsi="Arial" w:cs="Arial"/>
          <w:bCs/>
        </w:rPr>
        <w:t>r</w:t>
      </w:r>
      <w:r w:rsidRPr="00570219">
        <w:rPr>
          <w:rFonts w:ascii="Arial" w:eastAsia="Arial" w:hAnsi="Arial" w:cs="Arial"/>
          <w:bCs/>
        </w:rPr>
        <w:t xml:space="preserve">elate to </w:t>
      </w:r>
      <w:r>
        <w:rPr>
          <w:rFonts w:ascii="Arial" w:eastAsia="Arial" w:hAnsi="Arial" w:cs="Arial"/>
          <w:bCs/>
        </w:rPr>
        <w:t>Bosco</w:t>
      </w:r>
      <w:r w:rsidRPr="00570219">
        <w:rPr>
          <w:rFonts w:ascii="Arial" w:eastAsia="Arial" w:hAnsi="Arial" w:cs="Arial"/>
          <w:bCs/>
        </w:rPr>
        <w:t xml:space="preserve"> as at 30 June 20X5: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17"/>
        <w:gridCol w:w="1134"/>
        <w:gridCol w:w="1134"/>
      </w:tblGrid>
      <w:tr w:rsidR="008A2B93" w14:paraId="62032AD1" w14:textId="77777777" w:rsidTr="00CD3687">
        <w:trPr>
          <w:jc w:val="center"/>
        </w:trPr>
        <w:tc>
          <w:tcPr>
            <w:tcW w:w="4917" w:type="dxa"/>
          </w:tcPr>
          <w:p w14:paraId="6C36B47F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134" w:type="dxa"/>
          </w:tcPr>
          <w:p w14:paraId="09B7666C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$000</w:t>
            </w:r>
          </w:p>
        </w:tc>
        <w:tc>
          <w:tcPr>
            <w:tcW w:w="1134" w:type="dxa"/>
          </w:tcPr>
          <w:p w14:paraId="5BE1017E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$000</w:t>
            </w:r>
          </w:p>
        </w:tc>
      </w:tr>
      <w:tr w:rsidR="008A2B93" w14:paraId="488F008A" w14:textId="77777777" w:rsidTr="00CD3687">
        <w:trPr>
          <w:jc w:val="center"/>
        </w:trPr>
        <w:tc>
          <w:tcPr>
            <w:tcW w:w="4917" w:type="dxa"/>
          </w:tcPr>
          <w:p w14:paraId="2E8E9148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Revenue</w:t>
            </w:r>
          </w:p>
        </w:tc>
        <w:tc>
          <w:tcPr>
            <w:tcW w:w="1134" w:type="dxa"/>
          </w:tcPr>
          <w:p w14:paraId="2E684C93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  <w:tc>
          <w:tcPr>
            <w:tcW w:w="1134" w:type="dxa"/>
          </w:tcPr>
          <w:p w14:paraId="724E7FF0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113,500</w:t>
            </w:r>
          </w:p>
        </w:tc>
      </w:tr>
      <w:tr w:rsidR="008A2B93" w14:paraId="6084D81C" w14:textId="77777777" w:rsidTr="00CD3687">
        <w:trPr>
          <w:jc w:val="center"/>
        </w:trPr>
        <w:tc>
          <w:tcPr>
            <w:tcW w:w="4917" w:type="dxa"/>
          </w:tcPr>
          <w:p w14:paraId="31148C9E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Cost of sales</w:t>
            </w:r>
          </w:p>
        </w:tc>
        <w:tc>
          <w:tcPr>
            <w:tcW w:w="1134" w:type="dxa"/>
          </w:tcPr>
          <w:p w14:paraId="7C63651B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88,500</w:t>
            </w:r>
          </w:p>
        </w:tc>
        <w:tc>
          <w:tcPr>
            <w:tcW w:w="1134" w:type="dxa"/>
          </w:tcPr>
          <w:p w14:paraId="0C2AC99A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4881E46F" w14:textId="77777777" w:rsidTr="00CD3687">
        <w:trPr>
          <w:jc w:val="center"/>
        </w:trPr>
        <w:tc>
          <w:tcPr>
            <w:tcW w:w="4917" w:type="dxa"/>
          </w:tcPr>
          <w:p w14:paraId="636388BB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Research and development cost (note 1)</w:t>
            </w:r>
          </w:p>
        </w:tc>
        <w:tc>
          <w:tcPr>
            <w:tcW w:w="1134" w:type="dxa"/>
          </w:tcPr>
          <w:p w14:paraId="7C81509C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7,800</w:t>
            </w:r>
          </w:p>
        </w:tc>
        <w:tc>
          <w:tcPr>
            <w:tcW w:w="1134" w:type="dxa"/>
          </w:tcPr>
          <w:p w14:paraId="07FE7958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2C327CCF" w14:textId="77777777" w:rsidTr="00CD3687">
        <w:trPr>
          <w:jc w:val="center"/>
        </w:trPr>
        <w:tc>
          <w:tcPr>
            <w:tcW w:w="4917" w:type="dxa"/>
          </w:tcPr>
          <w:p w14:paraId="3A254A65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Distribution cost</w:t>
            </w:r>
          </w:p>
        </w:tc>
        <w:tc>
          <w:tcPr>
            <w:tcW w:w="1134" w:type="dxa"/>
          </w:tcPr>
          <w:p w14:paraId="43A3D6E3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2,800</w:t>
            </w:r>
          </w:p>
        </w:tc>
        <w:tc>
          <w:tcPr>
            <w:tcW w:w="1134" w:type="dxa"/>
          </w:tcPr>
          <w:p w14:paraId="7F77A644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6152040C" w14:textId="77777777" w:rsidTr="00CD3687">
        <w:trPr>
          <w:jc w:val="center"/>
        </w:trPr>
        <w:tc>
          <w:tcPr>
            <w:tcW w:w="4917" w:type="dxa"/>
          </w:tcPr>
          <w:p w14:paraId="27EADFA7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Administrative cost (note 3)</w:t>
            </w:r>
          </w:p>
        </w:tc>
        <w:tc>
          <w:tcPr>
            <w:tcW w:w="1134" w:type="dxa"/>
          </w:tcPr>
          <w:p w14:paraId="7892C3F6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6,800</w:t>
            </w:r>
          </w:p>
        </w:tc>
        <w:tc>
          <w:tcPr>
            <w:tcW w:w="1134" w:type="dxa"/>
          </w:tcPr>
          <w:p w14:paraId="31749A59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330FB649" w14:textId="77777777" w:rsidTr="00CD3687">
        <w:trPr>
          <w:jc w:val="center"/>
        </w:trPr>
        <w:tc>
          <w:tcPr>
            <w:tcW w:w="4917" w:type="dxa"/>
          </w:tcPr>
          <w:p w14:paraId="227237A6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Loan note interest and dividend paid (note 3)</w:t>
            </w:r>
          </w:p>
        </w:tc>
        <w:tc>
          <w:tcPr>
            <w:tcW w:w="1134" w:type="dxa"/>
          </w:tcPr>
          <w:p w14:paraId="12CD9561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5,000</w:t>
            </w:r>
          </w:p>
        </w:tc>
        <w:tc>
          <w:tcPr>
            <w:tcW w:w="1134" w:type="dxa"/>
          </w:tcPr>
          <w:p w14:paraId="73E854F2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663ED7A5" w14:textId="77777777" w:rsidTr="00CD3687">
        <w:trPr>
          <w:jc w:val="center"/>
        </w:trPr>
        <w:tc>
          <w:tcPr>
            <w:tcW w:w="4917" w:type="dxa"/>
          </w:tcPr>
          <w:p w14:paraId="7CD0D76C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Investment income</w:t>
            </w:r>
          </w:p>
        </w:tc>
        <w:tc>
          <w:tcPr>
            <w:tcW w:w="1134" w:type="dxa"/>
          </w:tcPr>
          <w:p w14:paraId="72E54052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  <w:tc>
          <w:tcPr>
            <w:tcW w:w="1134" w:type="dxa"/>
          </w:tcPr>
          <w:p w14:paraId="5FE16DD1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300</w:t>
            </w:r>
          </w:p>
        </w:tc>
      </w:tr>
      <w:tr w:rsidR="008A2B93" w14:paraId="3B91CFB3" w14:textId="77777777" w:rsidTr="00CD3687">
        <w:trPr>
          <w:jc w:val="center"/>
        </w:trPr>
        <w:tc>
          <w:tcPr>
            <w:tcW w:w="4917" w:type="dxa"/>
          </w:tcPr>
          <w:p w14:paraId="13E3C44A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5 % loan notes (note 3)</w:t>
            </w:r>
          </w:p>
        </w:tc>
        <w:tc>
          <w:tcPr>
            <w:tcW w:w="1134" w:type="dxa"/>
          </w:tcPr>
          <w:p w14:paraId="23EDFB37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  <w:tc>
          <w:tcPr>
            <w:tcW w:w="1134" w:type="dxa"/>
          </w:tcPr>
          <w:p w14:paraId="7BCB2686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20,000</w:t>
            </w:r>
          </w:p>
        </w:tc>
      </w:tr>
      <w:tr w:rsidR="008A2B93" w14:paraId="546C68F2" w14:textId="77777777" w:rsidTr="00CD3687">
        <w:trPr>
          <w:jc w:val="center"/>
        </w:trPr>
        <w:tc>
          <w:tcPr>
            <w:tcW w:w="4917" w:type="dxa"/>
          </w:tcPr>
          <w:p w14:paraId="63D9EAF4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Property at valuation 1 July 20X4 (note 2)</w:t>
            </w:r>
          </w:p>
        </w:tc>
        <w:tc>
          <w:tcPr>
            <w:tcW w:w="1134" w:type="dxa"/>
          </w:tcPr>
          <w:p w14:paraId="3A17862E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28,500</w:t>
            </w:r>
          </w:p>
        </w:tc>
        <w:tc>
          <w:tcPr>
            <w:tcW w:w="1134" w:type="dxa"/>
          </w:tcPr>
          <w:p w14:paraId="33836FFF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28F5053D" w14:textId="77777777" w:rsidTr="00CD3687">
        <w:trPr>
          <w:jc w:val="center"/>
        </w:trPr>
        <w:tc>
          <w:tcPr>
            <w:tcW w:w="4917" w:type="dxa"/>
          </w:tcPr>
          <w:p w14:paraId="5E02E78D" w14:textId="77777777" w:rsidR="008A2B93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 w:rsidRPr="0044061F">
              <w:rPr>
                <w:rFonts w:ascii="Arial" w:eastAsia="Arial" w:hAnsi="Arial" w:cs="Arial"/>
                <w:bCs/>
              </w:rPr>
              <w:t>Plant and equipment at cost (note (2))</w:t>
            </w:r>
          </w:p>
        </w:tc>
        <w:tc>
          <w:tcPr>
            <w:tcW w:w="1134" w:type="dxa"/>
          </w:tcPr>
          <w:p w14:paraId="3079EBAF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27,100</w:t>
            </w:r>
          </w:p>
        </w:tc>
        <w:tc>
          <w:tcPr>
            <w:tcW w:w="1134" w:type="dxa"/>
          </w:tcPr>
          <w:p w14:paraId="50535BC9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8A2B93" w14:paraId="480BCB78" w14:textId="77777777" w:rsidTr="00CD3687">
        <w:trPr>
          <w:jc w:val="center"/>
        </w:trPr>
        <w:tc>
          <w:tcPr>
            <w:tcW w:w="4917" w:type="dxa"/>
          </w:tcPr>
          <w:p w14:paraId="5AD6B91E" w14:textId="77777777" w:rsidR="008A2B93" w:rsidRPr="0044061F" w:rsidRDefault="008A2B93" w:rsidP="00CD3687">
            <w:pPr>
              <w:pStyle w:val="Normal1"/>
              <w:jc w:val="both"/>
              <w:rPr>
                <w:rFonts w:ascii="Arial" w:eastAsia="Arial" w:hAnsi="Arial" w:cs="Arial"/>
                <w:bCs/>
              </w:rPr>
            </w:pPr>
            <w:r w:rsidRPr="0044061F">
              <w:rPr>
                <w:rFonts w:ascii="Arial" w:eastAsia="Arial" w:hAnsi="Arial" w:cs="Arial"/>
                <w:bCs/>
              </w:rPr>
              <w:t>Accumulated depreciation plant and equipment 1 July 20X4</w:t>
            </w:r>
          </w:p>
        </w:tc>
        <w:tc>
          <w:tcPr>
            <w:tcW w:w="1134" w:type="dxa"/>
          </w:tcPr>
          <w:p w14:paraId="7A88AA6F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</w:p>
        </w:tc>
        <w:tc>
          <w:tcPr>
            <w:tcW w:w="1134" w:type="dxa"/>
          </w:tcPr>
          <w:p w14:paraId="67FF4BCC" w14:textId="77777777" w:rsidR="008A2B93" w:rsidRDefault="008A2B93" w:rsidP="00CD3687">
            <w:pPr>
              <w:pStyle w:val="Normal1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9,100</w:t>
            </w:r>
          </w:p>
        </w:tc>
      </w:tr>
    </w:tbl>
    <w:p w14:paraId="078985D3" w14:textId="77777777" w:rsidR="008A2B93" w:rsidRPr="007A7749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>The following notes are relevant:</w:t>
      </w:r>
    </w:p>
    <w:p w14:paraId="41DFB137" w14:textId="77777777" w:rsidR="008A2B93" w:rsidRPr="007A7749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 xml:space="preserve">(1) </w:t>
      </w:r>
      <w:r>
        <w:rPr>
          <w:rFonts w:ascii="Arial" w:eastAsia="Arial" w:hAnsi="Arial" w:cs="Arial"/>
          <w:bCs/>
        </w:rPr>
        <w:t>Bosco</w:t>
      </w:r>
      <w:r w:rsidRPr="007A7749">
        <w:rPr>
          <w:rFonts w:ascii="Arial" w:eastAsia="Arial" w:hAnsi="Arial" w:cs="Arial"/>
          <w:bCs/>
        </w:rPr>
        <w:t xml:space="preserve"> commenced a research and development project on 1 January 20X5. It spent $1 million per month on research until 31 March 20X5, at which date the project passed into the development stage. From this date it spent $1.6 million per month until the year end (30 June 20X5), at which date development was completed. However, it was not until 1 May 20X5 that the directors of </w:t>
      </w:r>
      <w:r>
        <w:rPr>
          <w:rFonts w:ascii="Arial" w:eastAsia="Arial" w:hAnsi="Arial" w:cs="Arial"/>
          <w:bCs/>
        </w:rPr>
        <w:t>Bosco</w:t>
      </w:r>
      <w:r w:rsidRPr="007A7749">
        <w:rPr>
          <w:rFonts w:ascii="Arial" w:eastAsia="Arial" w:hAnsi="Arial" w:cs="Arial"/>
          <w:bCs/>
        </w:rPr>
        <w:t xml:space="preserve"> were confident that the new product would be a commercial success.</w:t>
      </w:r>
    </w:p>
    <w:p w14:paraId="3D9E6259" w14:textId="77777777" w:rsidR="008A2B93" w:rsidRPr="007A7749" w:rsidRDefault="008A2B93" w:rsidP="008A2B93">
      <w:pPr>
        <w:pStyle w:val="Normal1"/>
        <w:spacing w:after="0"/>
        <w:ind w:firstLine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>Expensed research and development costs should be charged to cost of sales.</w:t>
      </w:r>
    </w:p>
    <w:p w14:paraId="002FC23C" w14:textId="77777777" w:rsidR="008A2B93" w:rsidRPr="007A7749" w:rsidRDefault="008A2B93" w:rsidP="008A2B93">
      <w:pPr>
        <w:pStyle w:val="Normal1"/>
        <w:spacing w:after="0"/>
        <w:ind w:firstLine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>(2) Non</w:t>
      </w:r>
      <w:r w:rsidRPr="007A7749">
        <w:rPr>
          <w:rFonts w:ascii="Cambria Math" w:eastAsia="Arial" w:hAnsi="Cambria Math" w:cs="Cambria Math"/>
          <w:bCs/>
        </w:rPr>
        <w:t>‐</w:t>
      </w:r>
      <w:r w:rsidRPr="007A7749">
        <w:rPr>
          <w:rFonts w:ascii="Arial" w:eastAsia="Arial" w:hAnsi="Arial" w:cs="Arial"/>
          <w:bCs/>
        </w:rPr>
        <w:t>current assets:</w:t>
      </w:r>
    </w:p>
    <w:p w14:paraId="433B195D" w14:textId="77777777" w:rsidR="008A2B93" w:rsidRPr="007A7749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Bosco</w:t>
      </w:r>
      <w:r w:rsidRPr="007A7749">
        <w:rPr>
          <w:rFonts w:ascii="Arial" w:eastAsia="Arial" w:hAnsi="Arial" w:cs="Arial"/>
          <w:bCs/>
        </w:rPr>
        <w:t xml:space="preserve">’s property is carried at fair value which at 30 June 20X5 was $29 million. The remaining life of the property at the beginning of the year (1 July 20X4) was 15 years. </w:t>
      </w:r>
      <w:r>
        <w:rPr>
          <w:rFonts w:ascii="Arial" w:eastAsia="Arial" w:hAnsi="Arial" w:cs="Arial"/>
          <w:bCs/>
        </w:rPr>
        <w:t>Bosco</w:t>
      </w:r>
      <w:r w:rsidRPr="007A7749">
        <w:rPr>
          <w:rFonts w:ascii="Arial" w:eastAsia="Arial" w:hAnsi="Arial" w:cs="Arial"/>
          <w:bCs/>
        </w:rPr>
        <w:t xml:space="preserve"> does not make an annual transfer to retained earnings in respect of the revaluation surplus. Ignore deferred tax on the revaluation.</w:t>
      </w:r>
    </w:p>
    <w:p w14:paraId="4D48ED03" w14:textId="77777777" w:rsidR="008A2B93" w:rsidRPr="007A7749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 xml:space="preserve">Plant and equipment </w:t>
      </w:r>
      <w:proofErr w:type="gramStart"/>
      <w:r w:rsidRPr="007A7749">
        <w:rPr>
          <w:rFonts w:ascii="Arial" w:eastAsia="Arial" w:hAnsi="Arial" w:cs="Arial"/>
          <w:bCs/>
        </w:rPr>
        <w:t>is</w:t>
      </w:r>
      <w:proofErr w:type="gramEnd"/>
      <w:r w:rsidRPr="007A7749">
        <w:rPr>
          <w:rFonts w:ascii="Arial" w:eastAsia="Arial" w:hAnsi="Arial" w:cs="Arial"/>
          <w:bCs/>
        </w:rPr>
        <w:t xml:space="preserve"> depreciated at 15% p</w:t>
      </w:r>
      <w:r>
        <w:rPr>
          <w:rFonts w:ascii="Arial" w:eastAsia="Arial" w:hAnsi="Arial" w:cs="Arial"/>
          <w:bCs/>
        </w:rPr>
        <w:t>.a.</w:t>
      </w:r>
      <w:r w:rsidRPr="007A7749">
        <w:rPr>
          <w:rFonts w:ascii="Arial" w:eastAsia="Arial" w:hAnsi="Arial" w:cs="Arial"/>
          <w:bCs/>
        </w:rPr>
        <w:t xml:space="preserve"> using the reducing balance method.</w:t>
      </w:r>
    </w:p>
    <w:p w14:paraId="01B9675B" w14:textId="77777777" w:rsidR="008A2B93" w:rsidRPr="007A7749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>No depreciation has yet been charged on any non</w:t>
      </w:r>
      <w:r w:rsidRPr="007A7749">
        <w:rPr>
          <w:rFonts w:ascii="Cambria Math" w:eastAsia="Arial" w:hAnsi="Cambria Math" w:cs="Cambria Math"/>
          <w:bCs/>
        </w:rPr>
        <w:t>‐</w:t>
      </w:r>
      <w:r w:rsidRPr="007A7749">
        <w:rPr>
          <w:rFonts w:ascii="Arial" w:eastAsia="Arial" w:hAnsi="Arial" w:cs="Arial"/>
          <w:bCs/>
        </w:rPr>
        <w:t>current asset for the year ended 30 June 20X5. All depreciation is charged to cost of sales.</w:t>
      </w:r>
    </w:p>
    <w:p w14:paraId="40BECAAD" w14:textId="77777777" w:rsidR="008A2B93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 xml:space="preserve">(3) The 5% loan note was issued on 1 July 20X4 at its nominal value of $20 million incurring direct issue costs of $500,000 which have been charged to administrative expenses. The loan note will be redeemed after three years at a premium which gives </w:t>
      </w:r>
      <w:r w:rsidRPr="007A7749">
        <w:rPr>
          <w:rFonts w:ascii="Arial" w:eastAsia="Arial" w:hAnsi="Arial" w:cs="Arial"/>
          <w:bCs/>
        </w:rPr>
        <w:lastRenderedPageBreak/>
        <w:t>the loan note an effective finance cost of 8% per annum. Annual interest was paid on 30 June 20X5.</w:t>
      </w:r>
    </w:p>
    <w:p w14:paraId="727226AA" w14:textId="77777777" w:rsidR="008A2B93" w:rsidRDefault="008A2B93" w:rsidP="008A2B93">
      <w:pPr>
        <w:pStyle w:val="Normal1"/>
        <w:spacing w:after="0"/>
        <w:ind w:left="720"/>
        <w:jc w:val="both"/>
        <w:rPr>
          <w:rFonts w:ascii="Arial" w:eastAsia="Arial" w:hAnsi="Arial" w:cs="Arial"/>
          <w:bCs/>
        </w:rPr>
      </w:pPr>
      <w:r w:rsidRPr="007A7749">
        <w:rPr>
          <w:rFonts w:ascii="Arial" w:eastAsia="Arial" w:hAnsi="Arial" w:cs="Arial"/>
          <w:bCs/>
        </w:rPr>
        <w:t>(4) A provision for current tax for the year ended 30 June 20X5 of $1.2 million is required, together with an increase to the deferred tax provision to be charged to profit or loss of $800,000.</w:t>
      </w:r>
    </w:p>
    <w:p w14:paraId="6D829692" w14:textId="002D0F67" w:rsidR="00C77F9E" w:rsidRPr="002153C2" w:rsidRDefault="008A2B93" w:rsidP="000B05A7">
      <w:pPr>
        <w:pStyle w:val="Normal1"/>
        <w:spacing w:after="0"/>
        <w:ind w:left="360"/>
        <w:jc w:val="both"/>
        <w:rPr>
          <w:rFonts w:ascii="Arial" w:eastAsia="Arial" w:hAnsi="Arial" w:cs="Arial"/>
          <w:bCs/>
        </w:rPr>
      </w:pPr>
      <w:r w:rsidRPr="0017228C">
        <w:rPr>
          <w:rFonts w:ascii="Arial" w:eastAsia="Arial" w:hAnsi="Arial" w:cs="Arial"/>
          <w:bCs/>
        </w:rPr>
        <w:t xml:space="preserve">Prepare the statement of profit or loss and other comprehensive income for </w:t>
      </w:r>
      <w:r>
        <w:rPr>
          <w:rFonts w:ascii="Arial" w:eastAsia="Arial" w:hAnsi="Arial" w:cs="Arial"/>
          <w:bCs/>
        </w:rPr>
        <w:t>Bosco</w:t>
      </w:r>
      <w:r w:rsidRPr="0017228C">
        <w:rPr>
          <w:rFonts w:ascii="Arial" w:eastAsia="Arial" w:hAnsi="Arial" w:cs="Arial"/>
          <w:bCs/>
        </w:rPr>
        <w:t xml:space="preserve"> for the year ended 30 June 20X5.</w:t>
      </w:r>
    </w:p>
    <w:p w14:paraId="178618F1" w14:textId="77777777" w:rsidR="006B3D77" w:rsidRPr="006B3D77" w:rsidRDefault="006B3D77" w:rsidP="006B3D77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6B3D77">
        <w:rPr>
          <w:rFonts w:ascii="Arial" w:hAnsi="Arial" w:cs="Arial"/>
          <w:sz w:val="22"/>
          <w:szCs w:val="22"/>
        </w:rPr>
        <w:t xml:space="preserve">On 1 April 20X4, Runner Co acquired 80% of Jogger Co's equity shares when the retained earnings of Jogger Co were $19.5m. The consideration consisted of cash of $42.5m paid on 1 April 20X4 and a further cash payment of $21m, deferred until 1 April 20X5. No accounting entries have been made in respect of the deferred cash payment. Runner Co has a cost of capital of 8%. The appropriate discount rate is 0.926. </w:t>
      </w:r>
    </w:p>
    <w:p w14:paraId="0E7795D8" w14:textId="77777777" w:rsidR="006B3D77" w:rsidRPr="006B3D77" w:rsidRDefault="006B3D77" w:rsidP="006B3D77">
      <w:pPr>
        <w:pStyle w:val="NormalWeb"/>
        <w:ind w:left="720"/>
        <w:jc w:val="both"/>
        <w:rPr>
          <w:rFonts w:ascii="Arial" w:hAnsi="Arial" w:cs="Arial"/>
        </w:rPr>
      </w:pPr>
      <w:r w:rsidRPr="006B3D77">
        <w:rPr>
          <w:rFonts w:ascii="Arial" w:hAnsi="Arial" w:cs="Arial"/>
          <w:sz w:val="22"/>
          <w:szCs w:val="22"/>
        </w:rPr>
        <w:t xml:space="preserve">The draft, summarised statements of financial position of the two companies at 31 March 20X5 are shown below: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2126"/>
        <w:gridCol w:w="2097"/>
      </w:tblGrid>
      <w:tr w:rsidR="006B3D77" w:rsidRPr="006B3D77" w14:paraId="0E3FDC8D" w14:textId="77777777" w:rsidTr="006A00F1">
        <w:trPr>
          <w:jc w:val="center"/>
        </w:trPr>
        <w:tc>
          <w:tcPr>
            <w:tcW w:w="3072" w:type="dxa"/>
          </w:tcPr>
          <w:p w14:paraId="29DC314D" w14:textId="0255275E" w:rsidR="006B3D77" w:rsidRPr="006B3D77" w:rsidRDefault="006A00F1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Assets</w:t>
            </w:r>
          </w:p>
        </w:tc>
        <w:tc>
          <w:tcPr>
            <w:tcW w:w="2126" w:type="dxa"/>
          </w:tcPr>
          <w:p w14:paraId="7F5C1C0E" w14:textId="1CC56A78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Runner Co. ($000)</w:t>
            </w:r>
          </w:p>
        </w:tc>
        <w:tc>
          <w:tcPr>
            <w:tcW w:w="2097" w:type="dxa"/>
          </w:tcPr>
          <w:p w14:paraId="0BAD3110" w14:textId="0ECAFFD6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Jogger Co. ($000)</w:t>
            </w:r>
          </w:p>
        </w:tc>
      </w:tr>
      <w:tr w:rsidR="006B3D77" w:rsidRPr="006B3D77" w14:paraId="78B9B924" w14:textId="77777777" w:rsidTr="006A00F1">
        <w:trPr>
          <w:jc w:val="center"/>
        </w:trPr>
        <w:tc>
          <w:tcPr>
            <w:tcW w:w="3072" w:type="dxa"/>
          </w:tcPr>
          <w:p w14:paraId="42FCC75E" w14:textId="144DD5BB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PPE</w:t>
            </w:r>
          </w:p>
        </w:tc>
        <w:tc>
          <w:tcPr>
            <w:tcW w:w="2126" w:type="dxa"/>
          </w:tcPr>
          <w:p w14:paraId="76793930" w14:textId="09E650EC" w:rsidR="006B3D77" w:rsidRPr="006B3D77" w:rsidRDefault="006B3D77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4</w:t>
            </w:r>
            <w:r w:rsidR="00804014">
              <w:rPr>
                <w:rFonts w:ascii="Arial" w:eastAsia="Arial" w:hAnsi="Arial" w:cs="Arial"/>
                <w:bCs/>
                <w:lang w:val="en-US"/>
              </w:rPr>
              <w:t>5</w:t>
            </w:r>
            <w:r>
              <w:rPr>
                <w:rFonts w:ascii="Arial" w:eastAsia="Arial" w:hAnsi="Arial" w:cs="Arial"/>
                <w:bCs/>
                <w:lang w:val="en-US"/>
              </w:rPr>
              <w:t>5,800</w:t>
            </w:r>
          </w:p>
        </w:tc>
        <w:tc>
          <w:tcPr>
            <w:tcW w:w="2097" w:type="dxa"/>
          </w:tcPr>
          <w:p w14:paraId="2393D0B0" w14:textId="3FE950D8" w:rsidR="006B3D77" w:rsidRPr="006B3D77" w:rsidRDefault="006B3D77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44,700</w:t>
            </w:r>
          </w:p>
        </w:tc>
      </w:tr>
      <w:tr w:rsidR="006B3D77" w:rsidRPr="006B3D77" w14:paraId="7516573E" w14:textId="77777777" w:rsidTr="006A00F1">
        <w:trPr>
          <w:jc w:val="center"/>
        </w:trPr>
        <w:tc>
          <w:tcPr>
            <w:tcW w:w="3072" w:type="dxa"/>
          </w:tcPr>
          <w:p w14:paraId="080085AE" w14:textId="718E95BE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Investments</w:t>
            </w:r>
          </w:p>
        </w:tc>
        <w:tc>
          <w:tcPr>
            <w:tcW w:w="2126" w:type="dxa"/>
          </w:tcPr>
          <w:p w14:paraId="17151165" w14:textId="11DB029A" w:rsidR="006B3D77" w:rsidRPr="006B3D77" w:rsidRDefault="006B3D77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55,000</w:t>
            </w:r>
          </w:p>
        </w:tc>
        <w:tc>
          <w:tcPr>
            <w:tcW w:w="2097" w:type="dxa"/>
          </w:tcPr>
          <w:p w14:paraId="1E49177A" w14:textId="791DA906" w:rsidR="006B3D77" w:rsidRPr="006B3D77" w:rsidRDefault="006B3D77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--</w:t>
            </w:r>
          </w:p>
        </w:tc>
      </w:tr>
      <w:tr w:rsidR="006B3D77" w:rsidRPr="006B3D77" w14:paraId="3BC52B54" w14:textId="77777777" w:rsidTr="006A00F1">
        <w:trPr>
          <w:jc w:val="center"/>
        </w:trPr>
        <w:tc>
          <w:tcPr>
            <w:tcW w:w="3072" w:type="dxa"/>
          </w:tcPr>
          <w:p w14:paraId="751DE101" w14:textId="72464332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 xml:space="preserve">Inventory </w:t>
            </w:r>
          </w:p>
        </w:tc>
        <w:tc>
          <w:tcPr>
            <w:tcW w:w="2126" w:type="dxa"/>
          </w:tcPr>
          <w:p w14:paraId="164DCA64" w14:textId="513F1CC9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22,000</w:t>
            </w:r>
          </w:p>
        </w:tc>
        <w:tc>
          <w:tcPr>
            <w:tcW w:w="2097" w:type="dxa"/>
          </w:tcPr>
          <w:p w14:paraId="415A2EE0" w14:textId="2ACE6BFD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16,000</w:t>
            </w:r>
          </w:p>
        </w:tc>
      </w:tr>
      <w:tr w:rsidR="006B3D77" w:rsidRPr="006B3D77" w14:paraId="25D3206B" w14:textId="77777777" w:rsidTr="006A00F1">
        <w:trPr>
          <w:jc w:val="center"/>
        </w:trPr>
        <w:tc>
          <w:tcPr>
            <w:tcW w:w="3072" w:type="dxa"/>
          </w:tcPr>
          <w:p w14:paraId="161C1B32" w14:textId="76497415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 xml:space="preserve">Trade receivables </w:t>
            </w:r>
          </w:p>
        </w:tc>
        <w:tc>
          <w:tcPr>
            <w:tcW w:w="2126" w:type="dxa"/>
          </w:tcPr>
          <w:p w14:paraId="4F4C134C" w14:textId="21894A9D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35,300</w:t>
            </w:r>
          </w:p>
        </w:tc>
        <w:tc>
          <w:tcPr>
            <w:tcW w:w="2097" w:type="dxa"/>
          </w:tcPr>
          <w:p w14:paraId="348D250D" w14:textId="73E92EF8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9,000</w:t>
            </w:r>
          </w:p>
        </w:tc>
      </w:tr>
      <w:tr w:rsidR="006B3D77" w:rsidRPr="006B3D77" w14:paraId="67273EB8" w14:textId="77777777" w:rsidTr="006A00F1">
        <w:trPr>
          <w:jc w:val="center"/>
        </w:trPr>
        <w:tc>
          <w:tcPr>
            <w:tcW w:w="3072" w:type="dxa"/>
          </w:tcPr>
          <w:p w14:paraId="2F8F614B" w14:textId="7AF74FE6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Bank</w:t>
            </w:r>
          </w:p>
        </w:tc>
        <w:tc>
          <w:tcPr>
            <w:tcW w:w="2126" w:type="dxa"/>
          </w:tcPr>
          <w:p w14:paraId="2A944B78" w14:textId="0330BD66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2,800</w:t>
            </w:r>
          </w:p>
        </w:tc>
        <w:tc>
          <w:tcPr>
            <w:tcW w:w="2097" w:type="dxa"/>
          </w:tcPr>
          <w:p w14:paraId="1620108A" w14:textId="6CA4A817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1,500</w:t>
            </w:r>
          </w:p>
        </w:tc>
      </w:tr>
      <w:tr w:rsidR="006B3D77" w:rsidRPr="006B3D77" w14:paraId="45BCCCA2" w14:textId="77777777" w:rsidTr="006A00F1">
        <w:trPr>
          <w:jc w:val="center"/>
        </w:trPr>
        <w:tc>
          <w:tcPr>
            <w:tcW w:w="3072" w:type="dxa"/>
          </w:tcPr>
          <w:p w14:paraId="679E08B6" w14:textId="3F481BBA" w:rsidR="006B3D77" w:rsidRPr="001807FC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1807FC">
              <w:rPr>
                <w:rFonts w:ascii="Arial" w:eastAsia="Arial" w:hAnsi="Arial" w:cs="Arial"/>
                <w:b/>
                <w:lang w:val="en-US"/>
              </w:rPr>
              <w:t>Total Assets</w:t>
            </w:r>
          </w:p>
        </w:tc>
        <w:tc>
          <w:tcPr>
            <w:tcW w:w="2126" w:type="dxa"/>
          </w:tcPr>
          <w:p w14:paraId="34C10F3A" w14:textId="7F48C930" w:rsidR="006B3D77" w:rsidRPr="001807FC" w:rsidRDefault="008A2CFF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5,70,9</w:t>
            </w:r>
            <w:r w:rsidR="001807FC" w:rsidRPr="001807FC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  <w:tc>
          <w:tcPr>
            <w:tcW w:w="2097" w:type="dxa"/>
          </w:tcPr>
          <w:p w14:paraId="6D71E721" w14:textId="70D74EC3" w:rsidR="006B3D77" w:rsidRPr="001807FC" w:rsidRDefault="008A2CFF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71</w:t>
            </w:r>
            <w:r w:rsidR="001807FC" w:rsidRPr="001807FC">
              <w:rPr>
                <w:rFonts w:ascii="Arial" w:eastAsia="Arial" w:hAnsi="Arial" w:cs="Arial"/>
                <w:b/>
                <w:lang w:val="en-US"/>
              </w:rPr>
              <w:t>,</w:t>
            </w:r>
            <w:r>
              <w:rPr>
                <w:rFonts w:ascii="Arial" w:eastAsia="Arial" w:hAnsi="Arial" w:cs="Arial"/>
                <w:b/>
                <w:lang w:val="en-US"/>
              </w:rPr>
              <w:t>2</w:t>
            </w:r>
            <w:r w:rsidR="001807FC" w:rsidRPr="001807FC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6B3D77" w:rsidRPr="006B3D77" w14:paraId="2A49AE28" w14:textId="77777777" w:rsidTr="006A00F1">
        <w:trPr>
          <w:jc w:val="center"/>
        </w:trPr>
        <w:tc>
          <w:tcPr>
            <w:tcW w:w="3072" w:type="dxa"/>
          </w:tcPr>
          <w:p w14:paraId="77032F0D" w14:textId="36B74397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Equity</w:t>
            </w:r>
          </w:p>
        </w:tc>
        <w:tc>
          <w:tcPr>
            <w:tcW w:w="2126" w:type="dxa"/>
          </w:tcPr>
          <w:p w14:paraId="5030FB82" w14:textId="77777777" w:rsidR="006B3D77" w:rsidRPr="006B3D77" w:rsidRDefault="006B3D77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</w:p>
        </w:tc>
        <w:tc>
          <w:tcPr>
            <w:tcW w:w="2097" w:type="dxa"/>
          </w:tcPr>
          <w:p w14:paraId="022D98C0" w14:textId="77777777" w:rsidR="006B3D77" w:rsidRPr="006B3D77" w:rsidRDefault="006B3D77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</w:p>
        </w:tc>
      </w:tr>
      <w:tr w:rsidR="006B3D77" w:rsidRPr="006B3D77" w14:paraId="7738957E" w14:textId="77777777" w:rsidTr="006A00F1">
        <w:trPr>
          <w:jc w:val="center"/>
        </w:trPr>
        <w:tc>
          <w:tcPr>
            <w:tcW w:w="3072" w:type="dxa"/>
          </w:tcPr>
          <w:p w14:paraId="388E5213" w14:textId="5330BA7A" w:rsidR="006B3D77" w:rsidRPr="006B3D77" w:rsidRDefault="001807FC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Eq</w:t>
            </w:r>
            <w:r w:rsidR="006B3D77" w:rsidRPr="006B3D77">
              <w:rPr>
                <w:rFonts w:ascii="Arial" w:eastAsia="Arial" w:hAnsi="Arial" w:cs="Arial"/>
                <w:bCs/>
                <w:lang w:val="en-US"/>
              </w:rPr>
              <w:t>uity shares of $1 each</w:t>
            </w:r>
          </w:p>
        </w:tc>
        <w:tc>
          <w:tcPr>
            <w:tcW w:w="2126" w:type="dxa"/>
          </w:tcPr>
          <w:p w14:paraId="46EF813D" w14:textId="3A12BD1F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202,500</w:t>
            </w:r>
          </w:p>
        </w:tc>
        <w:tc>
          <w:tcPr>
            <w:tcW w:w="2097" w:type="dxa"/>
          </w:tcPr>
          <w:p w14:paraId="6D3DCEEF" w14:textId="233B9632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25,000</w:t>
            </w:r>
          </w:p>
        </w:tc>
      </w:tr>
      <w:tr w:rsidR="006B3D77" w:rsidRPr="006B3D77" w14:paraId="66C7FD09" w14:textId="77777777" w:rsidTr="006A00F1">
        <w:trPr>
          <w:jc w:val="center"/>
        </w:trPr>
        <w:tc>
          <w:tcPr>
            <w:tcW w:w="3072" w:type="dxa"/>
          </w:tcPr>
          <w:p w14:paraId="2FB65A2A" w14:textId="7C940701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Retained earnings</w:t>
            </w:r>
          </w:p>
        </w:tc>
        <w:tc>
          <w:tcPr>
            <w:tcW w:w="2126" w:type="dxa"/>
          </w:tcPr>
          <w:p w14:paraId="01ADB9F4" w14:textId="5BDE17F9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286,</w:t>
            </w:r>
            <w:r w:rsidR="008A2CFF">
              <w:rPr>
                <w:rFonts w:ascii="Arial" w:eastAsia="Arial" w:hAnsi="Arial" w:cs="Arial"/>
                <w:bCs/>
                <w:lang w:val="en-US"/>
              </w:rPr>
              <w:t>6</w:t>
            </w:r>
            <w:r>
              <w:rPr>
                <w:rFonts w:ascii="Arial" w:eastAsia="Arial" w:hAnsi="Arial" w:cs="Arial"/>
                <w:bCs/>
                <w:lang w:val="en-US"/>
              </w:rPr>
              <w:t>00</w:t>
            </w:r>
          </w:p>
        </w:tc>
        <w:tc>
          <w:tcPr>
            <w:tcW w:w="2097" w:type="dxa"/>
          </w:tcPr>
          <w:p w14:paraId="00C37E11" w14:textId="4094949B" w:rsidR="006B3D77" w:rsidRPr="006B3D77" w:rsidRDefault="008A2CFF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28,600</w:t>
            </w:r>
          </w:p>
        </w:tc>
      </w:tr>
      <w:tr w:rsidR="006B3D77" w:rsidRPr="006B3D77" w14:paraId="0C0C7921" w14:textId="77777777" w:rsidTr="006A00F1">
        <w:trPr>
          <w:jc w:val="center"/>
        </w:trPr>
        <w:tc>
          <w:tcPr>
            <w:tcW w:w="3072" w:type="dxa"/>
          </w:tcPr>
          <w:p w14:paraId="499349B7" w14:textId="5919DB71" w:rsidR="006B3D77" w:rsidRPr="006B3D77" w:rsidRDefault="006B3D77" w:rsidP="006B3D77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6B3D77">
              <w:rPr>
                <w:rFonts w:ascii="Arial" w:eastAsia="Arial" w:hAnsi="Arial" w:cs="Arial"/>
                <w:bCs/>
                <w:lang w:val="en-US"/>
              </w:rPr>
              <w:t>Trade payables</w:t>
            </w:r>
          </w:p>
        </w:tc>
        <w:tc>
          <w:tcPr>
            <w:tcW w:w="2126" w:type="dxa"/>
          </w:tcPr>
          <w:p w14:paraId="327FC121" w14:textId="66121134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81,800</w:t>
            </w:r>
          </w:p>
        </w:tc>
        <w:tc>
          <w:tcPr>
            <w:tcW w:w="2097" w:type="dxa"/>
          </w:tcPr>
          <w:p w14:paraId="6A20EC0C" w14:textId="591E1030" w:rsidR="006B3D77" w:rsidRPr="006B3D77" w:rsidRDefault="001807FC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17,600</w:t>
            </w:r>
          </w:p>
        </w:tc>
      </w:tr>
      <w:tr w:rsidR="001807FC" w:rsidRPr="006B3D77" w14:paraId="5E0B40D7" w14:textId="77777777" w:rsidTr="006A00F1">
        <w:trPr>
          <w:jc w:val="center"/>
        </w:trPr>
        <w:tc>
          <w:tcPr>
            <w:tcW w:w="3072" w:type="dxa"/>
          </w:tcPr>
          <w:p w14:paraId="06146E41" w14:textId="79D4C6BC" w:rsidR="001807FC" w:rsidRPr="001807FC" w:rsidRDefault="001807FC" w:rsidP="001807FC">
            <w:pPr>
              <w:pStyle w:val="Normal1"/>
              <w:tabs>
                <w:tab w:val="left" w:pos="581"/>
              </w:tabs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1807FC">
              <w:rPr>
                <w:rFonts w:ascii="Arial" w:eastAsia="Arial" w:hAnsi="Arial" w:cs="Arial"/>
                <w:b/>
                <w:lang w:val="en-US"/>
              </w:rPr>
              <w:t>Total equity and liabilities</w:t>
            </w:r>
          </w:p>
        </w:tc>
        <w:tc>
          <w:tcPr>
            <w:tcW w:w="2126" w:type="dxa"/>
          </w:tcPr>
          <w:p w14:paraId="58D66296" w14:textId="7C03D4DB" w:rsidR="001807FC" w:rsidRPr="006B3D77" w:rsidRDefault="008A2CFF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5,70,9</w:t>
            </w:r>
            <w:r w:rsidRPr="001807FC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  <w:tc>
          <w:tcPr>
            <w:tcW w:w="2097" w:type="dxa"/>
          </w:tcPr>
          <w:p w14:paraId="339108CC" w14:textId="182FD9F8" w:rsidR="001807FC" w:rsidRPr="006B3D77" w:rsidRDefault="008A2CFF" w:rsidP="001807FC">
            <w:pPr>
              <w:pStyle w:val="Normal1"/>
              <w:tabs>
                <w:tab w:val="left" w:pos="581"/>
              </w:tabs>
              <w:jc w:val="right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71</w:t>
            </w:r>
            <w:r w:rsidRPr="001807FC">
              <w:rPr>
                <w:rFonts w:ascii="Arial" w:eastAsia="Arial" w:hAnsi="Arial" w:cs="Arial"/>
                <w:b/>
                <w:lang w:val="en-US"/>
              </w:rPr>
              <w:t>,</w:t>
            </w:r>
            <w:r>
              <w:rPr>
                <w:rFonts w:ascii="Arial" w:eastAsia="Arial" w:hAnsi="Arial" w:cs="Arial"/>
                <w:b/>
                <w:lang w:val="en-US"/>
              </w:rPr>
              <w:t>2</w:t>
            </w:r>
            <w:r w:rsidRPr="001807FC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</w:tbl>
    <w:p w14:paraId="59FDB224" w14:textId="77777777" w:rsidR="00E60E66" w:rsidRDefault="00E60E66" w:rsidP="00E60E66">
      <w:pPr>
        <w:pStyle w:val="Normal1"/>
        <w:tabs>
          <w:tab w:val="left" w:pos="581"/>
        </w:tabs>
        <w:ind w:left="720"/>
        <w:jc w:val="both"/>
        <w:rPr>
          <w:rFonts w:ascii="Arial" w:eastAsia="Arial" w:hAnsi="Arial" w:cs="Arial"/>
          <w:bCs/>
          <w:lang w:val="en-US"/>
        </w:rPr>
      </w:pPr>
    </w:p>
    <w:p w14:paraId="6AEBD996" w14:textId="288A3AC7" w:rsidR="00E60E66" w:rsidRPr="00E60E66" w:rsidRDefault="00E60E66" w:rsidP="00E60E66">
      <w:pPr>
        <w:pStyle w:val="Normal1"/>
        <w:tabs>
          <w:tab w:val="left" w:pos="581"/>
        </w:tabs>
        <w:ind w:left="720"/>
        <w:jc w:val="both"/>
        <w:rPr>
          <w:rFonts w:ascii="Arial" w:eastAsia="Arial" w:hAnsi="Arial" w:cs="Arial"/>
          <w:bCs/>
          <w:lang w:val="en-US"/>
        </w:rPr>
      </w:pPr>
      <w:r w:rsidRPr="00E60E66">
        <w:rPr>
          <w:rFonts w:ascii="Arial" w:eastAsia="Arial" w:hAnsi="Arial" w:cs="Arial"/>
          <w:bCs/>
          <w:lang w:val="en-US"/>
        </w:rPr>
        <w:t>(1) Runner Co’s policy is to value the non</w:t>
      </w:r>
      <w:r w:rsidRPr="00E60E66">
        <w:rPr>
          <w:rFonts w:ascii="Cambria Math" w:eastAsia="Arial" w:hAnsi="Cambria Math" w:cs="Cambria Math"/>
          <w:bCs/>
          <w:lang w:val="en-US"/>
        </w:rPr>
        <w:t>‐</w:t>
      </w:r>
      <w:r w:rsidRPr="00E60E66">
        <w:rPr>
          <w:rFonts w:ascii="Arial" w:eastAsia="Arial" w:hAnsi="Arial" w:cs="Arial"/>
          <w:bCs/>
          <w:lang w:val="en-US"/>
        </w:rPr>
        <w:t>controlling interest at fair value at the date of acquisition. The fair value of the non</w:t>
      </w:r>
      <w:r w:rsidRPr="00E60E66">
        <w:rPr>
          <w:rFonts w:ascii="Cambria Math" w:eastAsia="Arial" w:hAnsi="Cambria Math" w:cs="Cambria Math"/>
          <w:bCs/>
          <w:lang w:val="en-US"/>
        </w:rPr>
        <w:t>‐</w:t>
      </w:r>
      <w:r w:rsidRPr="00E60E66">
        <w:rPr>
          <w:rFonts w:ascii="Arial" w:eastAsia="Arial" w:hAnsi="Arial" w:cs="Arial"/>
          <w:bCs/>
          <w:lang w:val="en-US"/>
        </w:rPr>
        <w:t>controlling interest in Jogger Co on 1 April 20X4 was estimated at $13m.</w:t>
      </w:r>
    </w:p>
    <w:p w14:paraId="75074DAB" w14:textId="06D51565" w:rsidR="00E60E66" w:rsidRPr="00E60E66" w:rsidRDefault="00E60E66" w:rsidP="00E60E66">
      <w:pPr>
        <w:pStyle w:val="Normal1"/>
        <w:tabs>
          <w:tab w:val="left" w:pos="581"/>
        </w:tabs>
        <w:ind w:left="720"/>
        <w:jc w:val="both"/>
        <w:rPr>
          <w:rFonts w:ascii="Arial" w:eastAsia="Arial" w:hAnsi="Arial" w:cs="Arial"/>
          <w:bCs/>
          <w:lang w:val="en-US"/>
        </w:rPr>
      </w:pPr>
      <w:r w:rsidRPr="00E60E66">
        <w:rPr>
          <w:rFonts w:ascii="Arial" w:eastAsia="Arial" w:hAnsi="Arial" w:cs="Arial"/>
          <w:bCs/>
          <w:lang w:val="en-US"/>
        </w:rPr>
        <w:t xml:space="preserve">(2) The fair values of Jogger Co's other assets, liabilities and contingent liabilities at 1 April 20X4 were equal to their carrying amounts with the exception of a </w:t>
      </w:r>
      <w:proofErr w:type="spellStart"/>
      <w:r w:rsidRPr="00E60E66">
        <w:rPr>
          <w:rFonts w:ascii="Arial" w:eastAsia="Arial" w:hAnsi="Arial" w:cs="Arial"/>
          <w:bCs/>
          <w:lang w:val="en-US"/>
        </w:rPr>
        <w:t>specialised</w:t>
      </w:r>
      <w:proofErr w:type="spellEnd"/>
      <w:r w:rsidRPr="00E60E66">
        <w:rPr>
          <w:rFonts w:ascii="Arial" w:eastAsia="Arial" w:hAnsi="Arial" w:cs="Arial"/>
          <w:bCs/>
          <w:lang w:val="en-US"/>
        </w:rPr>
        <w:t xml:space="preserve"> piece of plant which had a fair value of $10m in excess of </w:t>
      </w:r>
      <w:proofErr w:type="gramStart"/>
      <w:r w:rsidRPr="00E60E66">
        <w:rPr>
          <w:rFonts w:ascii="Arial" w:eastAsia="Arial" w:hAnsi="Arial" w:cs="Arial"/>
          <w:bCs/>
          <w:lang w:val="en-US"/>
        </w:rPr>
        <w:t>its</w:t>
      </w:r>
      <w:proofErr w:type="gramEnd"/>
      <w:r w:rsidRPr="00E60E66">
        <w:rPr>
          <w:rFonts w:ascii="Arial" w:eastAsia="Arial" w:hAnsi="Arial" w:cs="Arial"/>
          <w:bCs/>
          <w:lang w:val="en-US"/>
        </w:rPr>
        <w:t xml:space="preserve"> carrying amount. This plant had a ten</w:t>
      </w:r>
      <w:r w:rsidR="00BA4E0E">
        <w:rPr>
          <w:rFonts w:ascii="Arial" w:eastAsia="Arial" w:hAnsi="Arial" w:cs="Arial"/>
          <w:bCs/>
          <w:lang w:val="en-US"/>
        </w:rPr>
        <w:t>-</w:t>
      </w:r>
      <w:r w:rsidRPr="00E60E66">
        <w:rPr>
          <w:rFonts w:ascii="Arial" w:eastAsia="Arial" w:hAnsi="Arial" w:cs="Arial"/>
          <w:bCs/>
          <w:lang w:val="en-US"/>
        </w:rPr>
        <w:t>year remaining useful life on 1 April 20X4.</w:t>
      </w:r>
    </w:p>
    <w:p w14:paraId="343B94D4" w14:textId="77777777" w:rsidR="00E60E66" w:rsidRPr="00E60E66" w:rsidRDefault="00E60E66" w:rsidP="00E60E66">
      <w:pPr>
        <w:pStyle w:val="Normal1"/>
        <w:tabs>
          <w:tab w:val="left" w:pos="581"/>
        </w:tabs>
        <w:ind w:left="720"/>
        <w:jc w:val="both"/>
        <w:rPr>
          <w:rFonts w:ascii="Arial" w:eastAsia="Arial" w:hAnsi="Arial" w:cs="Arial"/>
          <w:bCs/>
          <w:lang w:val="en-US"/>
        </w:rPr>
      </w:pPr>
      <w:r w:rsidRPr="00E60E66">
        <w:rPr>
          <w:rFonts w:ascii="Arial" w:eastAsia="Arial" w:hAnsi="Arial" w:cs="Arial"/>
          <w:bCs/>
          <w:lang w:val="en-US"/>
        </w:rPr>
        <w:t>(3) In December 20X4 Jogger Co sold goods to Runner Co for $6.4m, earning a gross margin of 15% on the sale. Runner Co still held $4.8m of these goods in its inventories at 31 March 20X5.</w:t>
      </w:r>
    </w:p>
    <w:p w14:paraId="6CC95EA8" w14:textId="77777777" w:rsidR="00E60E66" w:rsidRPr="00E60E66" w:rsidRDefault="00E60E66" w:rsidP="00E60E66">
      <w:pPr>
        <w:pStyle w:val="Normal1"/>
        <w:tabs>
          <w:tab w:val="left" w:pos="581"/>
        </w:tabs>
        <w:ind w:left="720"/>
        <w:jc w:val="both"/>
        <w:rPr>
          <w:rFonts w:ascii="Arial" w:eastAsia="Arial" w:hAnsi="Arial" w:cs="Arial"/>
          <w:bCs/>
          <w:lang w:val="en-US"/>
        </w:rPr>
      </w:pPr>
      <w:r w:rsidRPr="00E60E66">
        <w:rPr>
          <w:rFonts w:ascii="Arial" w:eastAsia="Arial" w:hAnsi="Arial" w:cs="Arial"/>
          <w:bCs/>
          <w:lang w:val="en-US"/>
        </w:rPr>
        <w:t>(4) Jogger Co still had the full invoice value of $6.4m in its trade receivables at 31 March 20X5. Runner Co’s payables only showed $3.4m as it made a payment of $3m on 31 March 20X5 which was not recorded by Jogger Co until 3 April 20X5.</w:t>
      </w:r>
    </w:p>
    <w:p w14:paraId="311A7B0F" w14:textId="5126B686" w:rsidR="005612B0" w:rsidRPr="00663D6A" w:rsidRDefault="00E60E66" w:rsidP="00E60E66">
      <w:pPr>
        <w:pStyle w:val="Normal1"/>
        <w:tabs>
          <w:tab w:val="left" w:pos="581"/>
        </w:tabs>
        <w:ind w:left="720"/>
        <w:jc w:val="both"/>
        <w:rPr>
          <w:rFonts w:ascii="Arial" w:eastAsia="Arial" w:hAnsi="Arial" w:cs="Arial"/>
          <w:bCs/>
          <w:highlight w:val="yellow"/>
          <w:lang w:val="en-US"/>
        </w:rPr>
      </w:pPr>
      <w:r w:rsidRPr="00E60E66">
        <w:rPr>
          <w:rFonts w:ascii="Arial" w:eastAsia="Arial" w:hAnsi="Arial" w:cs="Arial"/>
          <w:bCs/>
          <w:lang w:val="en-US"/>
        </w:rPr>
        <w:lastRenderedPageBreak/>
        <w:t>Prepare the consolidated statement of financial position for Runner Co as at 31 March 20X5.</w:t>
      </w:r>
    </w:p>
    <w:p w14:paraId="00344F57" w14:textId="6F5B4354" w:rsidR="005114D8" w:rsidRDefault="005114D8" w:rsidP="005114D8">
      <w:pPr>
        <w:pStyle w:val="Normal1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rFonts w:ascii="Arial" w:eastAsia="Times New Roman" w:hAnsi="Arial" w:cs="Arial"/>
          <w:lang w:val="en-IN" w:eastAsia="en-GB"/>
        </w:rPr>
      </w:pPr>
      <w:r>
        <w:rPr>
          <w:rFonts w:ascii="Arial" w:eastAsia="Times New Roman" w:hAnsi="Arial" w:cs="Arial"/>
          <w:lang w:val="en-IN" w:eastAsia="en-GB"/>
        </w:rPr>
        <w:t>Answer both the below independent questions:</w:t>
      </w:r>
    </w:p>
    <w:p w14:paraId="4CCA9BB7" w14:textId="185140EC" w:rsidR="00CA41BA" w:rsidRPr="00CA41BA" w:rsidRDefault="005114D8" w:rsidP="005114D8">
      <w:pPr>
        <w:pStyle w:val="Normal1"/>
        <w:tabs>
          <w:tab w:val="left" w:pos="581"/>
        </w:tabs>
        <w:spacing w:line="259" w:lineRule="auto"/>
        <w:ind w:left="720"/>
        <w:jc w:val="both"/>
        <w:rPr>
          <w:rFonts w:ascii="Arial" w:eastAsia="Times New Roman" w:hAnsi="Arial" w:cs="Arial"/>
          <w:lang w:val="en-IN" w:eastAsia="en-GB"/>
        </w:rPr>
      </w:pPr>
      <w:r>
        <w:rPr>
          <w:rFonts w:ascii="Arial" w:eastAsia="Times New Roman" w:hAnsi="Arial" w:cs="Arial"/>
          <w:lang w:val="en-IN" w:eastAsia="en-GB"/>
        </w:rPr>
        <w:t>(</w:t>
      </w:r>
      <w:proofErr w:type="spellStart"/>
      <w:r>
        <w:rPr>
          <w:rFonts w:ascii="Arial" w:eastAsia="Times New Roman" w:hAnsi="Arial" w:cs="Arial"/>
          <w:lang w:val="en-IN" w:eastAsia="en-GB"/>
        </w:rPr>
        <w:t>i</w:t>
      </w:r>
      <w:proofErr w:type="spellEnd"/>
      <w:r>
        <w:rPr>
          <w:rFonts w:ascii="Arial" w:eastAsia="Times New Roman" w:hAnsi="Arial" w:cs="Arial"/>
          <w:lang w:val="en-IN" w:eastAsia="en-GB"/>
        </w:rPr>
        <w:t>)</w:t>
      </w:r>
      <w:r w:rsidR="00CA41BA" w:rsidRPr="00CA41BA">
        <w:rPr>
          <w:rFonts w:ascii="Arial" w:eastAsia="Times New Roman" w:hAnsi="Arial" w:cs="Arial"/>
          <w:lang w:val="en-IN" w:eastAsia="en-GB"/>
        </w:rPr>
        <w:t xml:space="preserve">C Co. issues a convertible loan that pays interest of 2% per annum in arrears. The market rate is 8%, being the interest rate for an equivalent debt without the conversion option. The loan of $5 million is repayable in full after three years or convertible to equity. </w:t>
      </w:r>
    </w:p>
    <w:p w14:paraId="13C4928D" w14:textId="1E516995" w:rsidR="00CA41BA" w:rsidRPr="00CA41BA" w:rsidRDefault="00CA41BA" w:rsidP="005114D8">
      <w:pPr>
        <w:pStyle w:val="Normal1"/>
        <w:tabs>
          <w:tab w:val="left" w:pos="581"/>
        </w:tabs>
        <w:spacing w:line="259" w:lineRule="auto"/>
        <w:ind w:left="720"/>
        <w:jc w:val="both"/>
        <w:rPr>
          <w:rFonts w:ascii="Arial" w:eastAsia="Times New Roman" w:hAnsi="Arial" w:cs="Arial"/>
          <w:lang w:val="en-IN" w:eastAsia="en-GB"/>
        </w:rPr>
      </w:pPr>
      <w:r w:rsidRPr="00CA41BA">
        <w:rPr>
          <w:rFonts w:ascii="Arial" w:eastAsia="Times New Roman" w:hAnsi="Arial" w:cs="Arial"/>
          <w:lang w:val="en-IN" w:eastAsia="en-GB"/>
        </w:rPr>
        <w:t>You are required to split the loan between debt and equity at inception and calculate the finance charge for each year until conversion or redemption.</w:t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B269F3">
        <w:rPr>
          <w:rFonts w:ascii="Arial" w:eastAsia="Times New Roman" w:hAnsi="Arial" w:cs="Arial"/>
          <w:lang w:val="en-IN" w:eastAsia="en-GB"/>
        </w:rPr>
        <w:t xml:space="preserve">          </w:t>
      </w:r>
      <w:r w:rsidR="000F76C7">
        <w:rPr>
          <w:rFonts w:ascii="Arial" w:eastAsia="Times New Roman" w:hAnsi="Arial" w:cs="Arial"/>
          <w:lang w:val="en-IN" w:eastAsia="en-GB"/>
        </w:rPr>
        <w:t>5 marks</w:t>
      </w:r>
    </w:p>
    <w:p w14:paraId="6F3ABB86" w14:textId="5001AB7F" w:rsidR="00CA41BA" w:rsidRDefault="00CA41BA" w:rsidP="000F76C7">
      <w:pPr>
        <w:pStyle w:val="Normal1"/>
        <w:tabs>
          <w:tab w:val="left" w:pos="581"/>
        </w:tabs>
        <w:spacing w:line="259" w:lineRule="auto"/>
        <w:ind w:left="720"/>
        <w:jc w:val="both"/>
        <w:rPr>
          <w:rFonts w:ascii="Arial" w:eastAsia="Times New Roman" w:hAnsi="Arial" w:cs="Arial"/>
          <w:lang w:val="en-IN" w:eastAsia="en-GB"/>
        </w:rPr>
      </w:pPr>
      <w:r w:rsidRPr="00CA41BA">
        <w:rPr>
          <w:rFonts w:ascii="Arial" w:eastAsia="Times New Roman" w:hAnsi="Arial" w:cs="Arial"/>
          <w:lang w:val="en-IN" w:eastAsia="en-GB"/>
        </w:rPr>
        <w:t>(ii) During the year to 31st July 20X7 SP made a profit of $37,500 after accounting for depreciation of $2,500. During the year non-current assets were purchased for $16,000, receivables increased by $2,000, the inventories decreased by $3,600 and trade payables increased by $700. Compute the increase or decrease in cash and bank balances during the year.</w:t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0F76C7">
        <w:rPr>
          <w:rFonts w:ascii="Arial" w:eastAsia="Times New Roman" w:hAnsi="Arial" w:cs="Arial"/>
          <w:lang w:val="en-IN" w:eastAsia="en-GB"/>
        </w:rPr>
        <w:tab/>
      </w:r>
      <w:r w:rsidR="00B269F3">
        <w:rPr>
          <w:rFonts w:ascii="Arial" w:eastAsia="Times New Roman" w:hAnsi="Arial" w:cs="Arial"/>
          <w:lang w:val="en-IN" w:eastAsia="en-GB"/>
        </w:rPr>
        <w:t xml:space="preserve">         </w:t>
      </w:r>
      <w:r w:rsidR="000F76C7">
        <w:rPr>
          <w:rFonts w:ascii="Arial" w:eastAsia="Times New Roman" w:hAnsi="Arial" w:cs="Arial"/>
          <w:lang w:val="en-IN" w:eastAsia="en-GB"/>
        </w:rPr>
        <w:t>5 marks</w:t>
      </w:r>
    </w:p>
    <w:p w14:paraId="25B3EBB2" w14:textId="2C951B08" w:rsidR="008109A8" w:rsidRPr="002153C2" w:rsidRDefault="008109A8" w:rsidP="00CA41BA">
      <w:pPr>
        <w:pStyle w:val="Normal1"/>
        <w:tabs>
          <w:tab w:val="left" w:pos="581"/>
        </w:tabs>
        <w:spacing w:line="259" w:lineRule="auto"/>
        <w:ind w:left="720"/>
        <w:jc w:val="center"/>
        <w:rPr>
          <w:rFonts w:ascii="Arial" w:hAnsi="Arial" w:cs="Arial"/>
          <w:b/>
        </w:rPr>
      </w:pPr>
      <w:r w:rsidRPr="002153C2">
        <w:rPr>
          <w:rFonts w:ascii="Arial" w:hAnsi="Arial" w:cs="Arial"/>
          <w:b/>
        </w:rPr>
        <w:t>Section D</w:t>
      </w:r>
    </w:p>
    <w:p w14:paraId="0265CFB4" w14:textId="577A7B80" w:rsidR="008109A8" w:rsidRPr="002153C2" w:rsidRDefault="008109A8" w:rsidP="002153C2">
      <w:pPr>
        <w:ind w:left="360"/>
        <w:jc w:val="both"/>
        <w:rPr>
          <w:rFonts w:ascii="Arial" w:hAnsi="Arial" w:cs="Arial"/>
          <w:b/>
        </w:rPr>
      </w:pPr>
      <w:r w:rsidRPr="002153C2">
        <w:rPr>
          <w:rFonts w:ascii="Arial" w:hAnsi="Arial" w:cs="Arial"/>
        </w:rPr>
        <w:t xml:space="preserve">IV </w:t>
      </w:r>
      <w:r w:rsidRPr="002153C2">
        <w:rPr>
          <w:rFonts w:ascii="Arial" w:hAnsi="Arial" w:cs="Arial"/>
          <w:b/>
        </w:rPr>
        <w:t>Answer the following</w:t>
      </w:r>
      <w:r w:rsidRPr="002153C2">
        <w:rPr>
          <w:rFonts w:ascii="Arial" w:hAnsi="Arial" w:cs="Arial"/>
          <w:b/>
        </w:rPr>
        <w:tab/>
      </w:r>
      <w:r w:rsidRPr="002153C2">
        <w:rPr>
          <w:rFonts w:ascii="Arial" w:hAnsi="Arial" w:cs="Arial"/>
          <w:b/>
        </w:rPr>
        <w:tab/>
      </w:r>
      <w:r w:rsidRPr="002153C2">
        <w:rPr>
          <w:rFonts w:ascii="Arial" w:hAnsi="Arial" w:cs="Arial"/>
          <w:b/>
        </w:rPr>
        <w:tab/>
      </w:r>
      <w:r w:rsidRPr="002153C2">
        <w:rPr>
          <w:rFonts w:ascii="Arial" w:hAnsi="Arial" w:cs="Arial"/>
          <w:b/>
        </w:rPr>
        <w:tab/>
        <w:t xml:space="preserve">                </w:t>
      </w:r>
      <w:proofErr w:type="gramStart"/>
      <w:r w:rsidR="00701B8C">
        <w:rPr>
          <w:rFonts w:ascii="Arial" w:hAnsi="Arial" w:cs="Arial"/>
          <w:b/>
        </w:rPr>
        <w:tab/>
      </w:r>
      <w:r w:rsidRPr="002153C2">
        <w:rPr>
          <w:rFonts w:ascii="Arial" w:hAnsi="Arial" w:cs="Arial"/>
          <w:b/>
        </w:rPr>
        <w:t xml:space="preserve">  </w:t>
      </w:r>
      <w:r w:rsidR="00605565">
        <w:rPr>
          <w:rFonts w:ascii="Arial" w:hAnsi="Arial" w:cs="Arial"/>
          <w:b/>
        </w:rPr>
        <w:tab/>
      </w:r>
      <w:proofErr w:type="gramEnd"/>
      <w:r w:rsidRPr="002153C2">
        <w:rPr>
          <w:rFonts w:ascii="Arial" w:hAnsi="Arial" w:cs="Arial"/>
          <w:b/>
        </w:rPr>
        <w:t>(1 X 15 = 15 marks)</w:t>
      </w:r>
    </w:p>
    <w:p w14:paraId="35649C70" w14:textId="77777777" w:rsidR="009C58F7" w:rsidRPr="003F55CE" w:rsidRDefault="009C58F7" w:rsidP="003F55CE">
      <w:pPr>
        <w:pStyle w:val="Normal1"/>
        <w:numPr>
          <w:ilvl w:val="0"/>
          <w:numId w:val="1"/>
        </w:numPr>
        <w:tabs>
          <w:tab w:val="left" w:pos="581"/>
        </w:tabs>
        <w:spacing w:after="0"/>
        <w:jc w:val="both"/>
        <w:rPr>
          <w:rFonts w:ascii="Arial" w:eastAsia="Arial" w:hAnsi="Arial" w:cs="Arial"/>
          <w:bCs/>
        </w:rPr>
      </w:pPr>
      <w:r w:rsidRPr="003F55CE">
        <w:rPr>
          <w:rFonts w:ascii="Arial" w:eastAsia="Arial" w:hAnsi="Arial" w:cs="Arial"/>
          <w:bCs/>
        </w:rPr>
        <w:t xml:space="preserve">A. </w:t>
      </w:r>
      <w:r w:rsidRPr="003F55CE">
        <w:rPr>
          <w:rFonts w:ascii="Arial" w:hAnsi="Arial" w:cs="Arial"/>
          <w:bCs/>
        </w:rPr>
        <w:t xml:space="preserve">On 1 January 20X5 Bland bought a $10,000 6% bond for $9,000, incurring acquisition costs of $144. Interest is received annually in arrears, and the bond will be redeemed at a premium of $500 over its nominal value on 31 December 20X7. The effective rate of interest is 11%. The fair value of the bond was as follows: </w:t>
      </w:r>
    </w:p>
    <w:p w14:paraId="6FD234E6" w14:textId="77777777" w:rsidR="009C58F7" w:rsidRPr="00D74BBA" w:rsidRDefault="009C58F7" w:rsidP="00D74BBA">
      <w:pPr>
        <w:pStyle w:val="NoSpacing"/>
        <w:ind w:left="1440"/>
        <w:jc w:val="both"/>
        <w:rPr>
          <w:rFonts w:ascii="Arial" w:hAnsi="Arial" w:cs="Arial"/>
        </w:rPr>
      </w:pPr>
      <w:r w:rsidRPr="00D74BBA">
        <w:rPr>
          <w:rFonts w:ascii="Arial" w:hAnsi="Arial" w:cs="Arial"/>
        </w:rPr>
        <w:t xml:space="preserve">31 December 20X5 $11,000 </w:t>
      </w:r>
    </w:p>
    <w:p w14:paraId="6E444EF1" w14:textId="77777777" w:rsidR="009C58F7" w:rsidRPr="00D74BBA" w:rsidRDefault="009C58F7" w:rsidP="00D74BBA">
      <w:pPr>
        <w:pStyle w:val="NoSpacing"/>
        <w:ind w:left="1440"/>
        <w:jc w:val="both"/>
        <w:rPr>
          <w:rFonts w:ascii="Arial" w:hAnsi="Arial" w:cs="Arial"/>
        </w:rPr>
      </w:pPr>
      <w:r w:rsidRPr="00D74BBA">
        <w:rPr>
          <w:rFonts w:ascii="Arial" w:hAnsi="Arial" w:cs="Arial"/>
        </w:rPr>
        <w:t xml:space="preserve">31 December 20X6 $10,400 </w:t>
      </w:r>
    </w:p>
    <w:p w14:paraId="6A21E396" w14:textId="0CC89D39" w:rsidR="009C58F7" w:rsidRDefault="009C58F7" w:rsidP="009C58F7">
      <w:pPr>
        <w:pStyle w:val="NormalWeb"/>
        <w:shd w:val="clear" w:color="auto" w:fill="FFFFFF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9C58F7">
        <w:rPr>
          <w:rFonts w:ascii="Arial" w:hAnsi="Arial" w:cs="Arial"/>
          <w:bCs/>
          <w:sz w:val="22"/>
          <w:szCs w:val="22"/>
        </w:rPr>
        <w:t xml:space="preserve">Show how the </w:t>
      </w:r>
      <w:r w:rsidR="001822F8">
        <w:rPr>
          <w:rFonts w:ascii="Arial" w:hAnsi="Arial" w:cs="Arial"/>
          <w:bCs/>
          <w:sz w:val="22"/>
          <w:szCs w:val="22"/>
        </w:rPr>
        <w:t xml:space="preserve">financial asset </w:t>
      </w:r>
      <w:r w:rsidRPr="009C58F7">
        <w:rPr>
          <w:rFonts w:ascii="Arial" w:hAnsi="Arial" w:cs="Arial"/>
          <w:bCs/>
          <w:sz w:val="22"/>
          <w:szCs w:val="22"/>
        </w:rPr>
        <w:t>will be accounted for over the three-year period if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C58F7">
        <w:rPr>
          <w:rFonts w:ascii="Arial" w:hAnsi="Arial" w:cs="Arial"/>
          <w:bCs/>
          <w:sz w:val="22"/>
          <w:szCs w:val="22"/>
        </w:rPr>
        <w:t>Bland planned to hold the bond until the redemption date</w:t>
      </w:r>
      <w:r w:rsidR="001822F8">
        <w:rPr>
          <w:rFonts w:ascii="Arial" w:hAnsi="Arial" w:cs="Arial"/>
          <w:bCs/>
          <w:sz w:val="22"/>
          <w:szCs w:val="22"/>
        </w:rPr>
        <w:t xml:space="preserve"> in SOPL and SOFP.</w:t>
      </w:r>
      <w:r>
        <w:rPr>
          <w:rFonts w:ascii="Arial" w:hAnsi="Arial" w:cs="Arial"/>
          <w:bCs/>
          <w:sz w:val="22"/>
          <w:szCs w:val="22"/>
        </w:rPr>
        <w:tab/>
      </w:r>
      <w:r w:rsidR="001822F8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7 marks</w:t>
      </w:r>
    </w:p>
    <w:p w14:paraId="2FF54C29" w14:textId="118EDC9A" w:rsidR="003F55CE" w:rsidRDefault="009C58F7" w:rsidP="003F55CE">
      <w:pPr>
        <w:pStyle w:val="NormalWeb"/>
        <w:shd w:val="clear" w:color="auto" w:fill="FFFFFF"/>
        <w:ind w:left="720"/>
        <w:jc w:val="both"/>
      </w:pPr>
      <w:r w:rsidRPr="00DB5AE3">
        <w:rPr>
          <w:rFonts w:ascii="Arial" w:hAnsi="Arial" w:cs="Arial"/>
          <w:bCs/>
          <w:sz w:val="22"/>
          <w:szCs w:val="22"/>
        </w:rPr>
        <w:t>B.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55CE">
        <w:rPr>
          <w:rFonts w:ascii="ArialMT" w:hAnsi="ArialMT"/>
        </w:rPr>
        <w:t xml:space="preserve">R acquired a 70% investment in D for $20,000 two years ago. It is group policy to measure non-controlling interests at fair value at the date of acquisition. The fair value of the non-controlling interest in D at the date of acquisition was $8,000 and the fair value of D's net assets was $19,000. The goodwill has not been impaired. R disposed of all of its shares in D for sale proceeds of $30,000. The fair value of D’s net assets at the date of disposal was $24,000. </w:t>
      </w:r>
    </w:p>
    <w:p w14:paraId="3801E9C3" w14:textId="77777777" w:rsidR="003F55CE" w:rsidRDefault="003F55CE" w:rsidP="003F55CE">
      <w:pPr>
        <w:pStyle w:val="NormalWeb"/>
        <w:shd w:val="clear" w:color="auto" w:fill="FFFFFF"/>
        <w:ind w:left="720"/>
        <w:jc w:val="both"/>
      </w:pPr>
      <w:r>
        <w:rPr>
          <w:rFonts w:ascii="ArialMT" w:hAnsi="ArialMT"/>
        </w:rPr>
        <w:t xml:space="preserve">Calculate the profit/loss on disposal that would be recorded in: </w:t>
      </w:r>
    </w:p>
    <w:p w14:paraId="3C71B13C" w14:textId="3CA362E3" w:rsidR="003F55CE" w:rsidRDefault="003F55CE" w:rsidP="003F55CE">
      <w:pPr>
        <w:pStyle w:val="NormalWeb"/>
        <w:numPr>
          <w:ilvl w:val="0"/>
          <w:numId w:val="21"/>
        </w:numPr>
        <w:shd w:val="clear" w:color="auto" w:fill="FFFFFF"/>
        <w:tabs>
          <w:tab w:val="clear" w:pos="720"/>
          <w:tab w:val="num" w:pos="1440"/>
        </w:tabs>
        <w:ind w:left="1440"/>
        <w:jc w:val="both"/>
      </w:pPr>
      <w:r>
        <w:rPr>
          <w:rFonts w:ascii="ArialMT" w:hAnsi="ArialMT"/>
        </w:rPr>
        <w:t xml:space="preserve"> R's individual statement of profit or loss. </w:t>
      </w:r>
    </w:p>
    <w:p w14:paraId="2591744B" w14:textId="1066C54A" w:rsidR="00C12895" w:rsidRPr="00184F17" w:rsidRDefault="003F55CE" w:rsidP="00184F17">
      <w:pPr>
        <w:pStyle w:val="NormalWeb"/>
        <w:numPr>
          <w:ilvl w:val="0"/>
          <w:numId w:val="21"/>
        </w:numPr>
        <w:shd w:val="clear" w:color="auto" w:fill="FFFFFF"/>
        <w:tabs>
          <w:tab w:val="clear" w:pos="720"/>
          <w:tab w:val="num" w:pos="1440"/>
        </w:tabs>
        <w:ind w:left="1440"/>
        <w:jc w:val="both"/>
      </w:pPr>
      <w:r>
        <w:rPr>
          <w:rFonts w:ascii="ArialMT" w:hAnsi="ArialMT"/>
        </w:rPr>
        <w:t xml:space="preserve"> R's consolidated statement of profit or loss.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      </w:t>
      </w:r>
      <w:r w:rsidR="00E31D86">
        <w:rPr>
          <w:rFonts w:ascii="ArialMT" w:hAnsi="ArialMT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>8 marks</w:t>
      </w:r>
    </w:p>
    <w:p w14:paraId="36BF083A" w14:textId="77777777" w:rsidR="00184F17" w:rsidRDefault="00184F17" w:rsidP="00C12895">
      <w:pPr>
        <w:pStyle w:val="NormalWeb"/>
        <w:shd w:val="clear" w:color="auto" w:fill="FFFFFF"/>
        <w:ind w:left="720"/>
        <w:jc w:val="center"/>
        <w:rPr>
          <w:rFonts w:ascii="Arial" w:hAnsi="Arial" w:cs="Arial"/>
          <w:bCs/>
          <w:sz w:val="22"/>
          <w:szCs w:val="22"/>
        </w:rPr>
      </w:pPr>
    </w:p>
    <w:p w14:paraId="4DC7AE2E" w14:textId="1B4164A7" w:rsidR="009C58F7" w:rsidRDefault="00C12895" w:rsidP="00C12895">
      <w:pPr>
        <w:pStyle w:val="NormalWeb"/>
        <w:shd w:val="clear" w:color="auto" w:fill="FFFFFF"/>
        <w:ind w:left="7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************End of Paper************</w:t>
      </w:r>
    </w:p>
    <w:p w14:paraId="14921675" w14:textId="0FD68F7F" w:rsidR="007C469B" w:rsidRPr="002153C2" w:rsidRDefault="007C469B" w:rsidP="00D5387C">
      <w:pPr>
        <w:pStyle w:val="Normal1"/>
        <w:tabs>
          <w:tab w:val="left" w:pos="581"/>
        </w:tabs>
        <w:spacing w:after="0"/>
        <w:jc w:val="both"/>
        <w:rPr>
          <w:rFonts w:ascii="Arial" w:eastAsia="Arial" w:hAnsi="Arial" w:cs="Arial"/>
          <w:bCs/>
        </w:rPr>
      </w:pPr>
    </w:p>
    <w:sectPr w:rsidR="007C469B" w:rsidRPr="002153C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B5E2" w14:textId="77777777" w:rsidR="00896E38" w:rsidRDefault="00896E38">
      <w:pPr>
        <w:spacing w:after="0" w:line="240" w:lineRule="auto"/>
      </w:pPr>
      <w:r>
        <w:separator/>
      </w:r>
    </w:p>
  </w:endnote>
  <w:endnote w:type="continuationSeparator" w:id="0">
    <w:p w14:paraId="4D4FDE5B" w14:textId="77777777" w:rsidR="00896E38" w:rsidRDefault="0089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55B8" w14:textId="622CA669" w:rsidR="00A92A2D" w:rsidRDefault="008109A8" w:rsidP="00716279">
    <w:pPr>
      <w:pStyle w:val="Normal1"/>
      <w:ind w:left="2880" w:firstLine="720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 w:rsidR="00716279">
      <w:tab/>
    </w:r>
    <w:r w:rsidR="00716279">
      <w:tab/>
    </w:r>
    <w:r w:rsidR="00716279">
      <w:tab/>
    </w:r>
    <w:r w:rsidR="00716279">
      <w:tab/>
    </w:r>
    <w:r w:rsidR="00716279">
      <w:tab/>
      <w:t>BCIFA3123-B-23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5DF2" w14:textId="77777777" w:rsidR="00896E38" w:rsidRDefault="00896E38">
      <w:pPr>
        <w:spacing w:after="0" w:line="240" w:lineRule="auto"/>
      </w:pPr>
      <w:r>
        <w:separator/>
      </w:r>
    </w:p>
  </w:footnote>
  <w:footnote w:type="continuationSeparator" w:id="0">
    <w:p w14:paraId="477B7E7B" w14:textId="77777777" w:rsidR="00896E38" w:rsidRDefault="0089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4B0"/>
    <w:multiLevelType w:val="multilevel"/>
    <w:tmpl w:val="711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34B9C"/>
    <w:multiLevelType w:val="multilevel"/>
    <w:tmpl w:val="C58643B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25570"/>
    <w:multiLevelType w:val="multilevel"/>
    <w:tmpl w:val="E7F2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039F"/>
    <w:multiLevelType w:val="hybridMultilevel"/>
    <w:tmpl w:val="281886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B5459"/>
    <w:multiLevelType w:val="multilevel"/>
    <w:tmpl w:val="4CA848D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40797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3D01E90"/>
    <w:multiLevelType w:val="hybridMultilevel"/>
    <w:tmpl w:val="BF4096F0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B16"/>
    <w:multiLevelType w:val="hybridMultilevel"/>
    <w:tmpl w:val="FF668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F437A2"/>
    <w:multiLevelType w:val="multilevel"/>
    <w:tmpl w:val="4E9E7BE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626BB0"/>
    <w:multiLevelType w:val="multilevel"/>
    <w:tmpl w:val="4CA848D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E171D3"/>
    <w:multiLevelType w:val="multilevel"/>
    <w:tmpl w:val="D544496A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737CC"/>
    <w:multiLevelType w:val="hybridMultilevel"/>
    <w:tmpl w:val="83DE7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55112"/>
    <w:multiLevelType w:val="hybridMultilevel"/>
    <w:tmpl w:val="E494BCD0"/>
    <w:lvl w:ilvl="0" w:tplc="F314FC04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BD34F708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7D5A470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D40438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E6E470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3E20A5E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377033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1C02DB1E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A98CF89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9720A"/>
    <w:multiLevelType w:val="multilevel"/>
    <w:tmpl w:val="66E6D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13187"/>
    <w:multiLevelType w:val="multilevel"/>
    <w:tmpl w:val="4CA848D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0CC6F67"/>
    <w:multiLevelType w:val="hybridMultilevel"/>
    <w:tmpl w:val="3056C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E00E7"/>
    <w:multiLevelType w:val="multilevel"/>
    <w:tmpl w:val="4CA848D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0D2558"/>
    <w:multiLevelType w:val="hybridMultilevel"/>
    <w:tmpl w:val="DE5E5AD8"/>
    <w:lvl w:ilvl="0" w:tplc="A0322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C207D"/>
    <w:multiLevelType w:val="hybridMultilevel"/>
    <w:tmpl w:val="03D4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D5C87"/>
    <w:multiLevelType w:val="multilevel"/>
    <w:tmpl w:val="E468109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3711C"/>
    <w:multiLevelType w:val="multilevel"/>
    <w:tmpl w:val="35CC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006364"/>
    <w:multiLevelType w:val="hybridMultilevel"/>
    <w:tmpl w:val="37ECBF56"/>
    <w:lvl w:ilvl="0" w:tplc="02E67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250228">
    <w:abstractNumId w:val="16"/>
  </w:num>
  <w:num w:numId="2" w16cid:durableId="2135756901">
    <w:abstractNumId w:val="18"/>
  </w:num>
  <w:num w:numId="3" w16cid:durableId="910235546">
    <w:abstractNumId w:val="8"/>
  </w:num>
  <w:num w:numId="4" w16cid:durableId="2075396588">
    <w:abstractNumId w:val="5"/>
  </w:num>
  <w:num w:numId="5" w16cid:durableId="799962296">
    <w:abstractNumId w:val="21"/>
  </w:num>
  <w:num w:numId="6" w16cid:durableId="1693416002">
    <w:abstractNumId w:val="12"/>
  </w:num>
  <w:num w:numId="7" w16cid:durableId="1127353870">
    <w:abstractNumId w:val="15"/>
  </w:num>
  <w:num w:numId="8" w16cid:durableId="37632522">
    <w:abstractNumId w:val="17"/>
  </w:num>
  <w:num w:numId="9" w16cid:durableId="2068651607">
    <w:abstractNumId w:val="11"/>
  </w:num>
  <w:num w:numId="10" w16cid:durableId="916742586">
    <w:abstractNumId w:val="6"/>
  </w:num>
  <w:num w:numId="11" w16cid:durableId="2114544100">
    <w:abstractNumId w:val="7"/>
  </w:num>
  <w:num w:numId="12" w16cid:durableId="624969600">
    <w:abstractNumId w:val="1"/>
  </w:num>
  <w:num w:numId="13" w16cid:durableId="1375035832">
    <w:abstractNumId w:val="19"/>
  </w:num>
  <w:num w:numId="14" w16cid:durableId="427971782">
    <w:abstractNumId w:val="20"/>
  </w:num>
  <w:num w:numId="15" w16cid:durableId="50539911">
    <w:abstractNumId w:val="13"/>
  </w:num>
  <w:num w:numId="16" w16cid:durableId="677345945">
    <w:abstractNumId w:val="10"/>
  </w:num>
  <w:num w:numId="17" w16cid:durableId="2095853630">
    <w:abstractNumId w:val="0"/>
  </w:num>
  <w:num w:numId="18" w16cid:durableId="60099152">
    <w:abstractNumId w:val="9"/>
  </w:num>
  <w:num w:numId="19" w16cid:durableId="466045001">
    <w:abstractNumId w:val="14"/>
  </w:num>
  <w:num w:numId="20" w16cid:durableId="615603466">
    <w:abstractNumId w:val="4"/>
  </w:num>
  <w:num w:numId="21" w16cid:durableId="201405253">
    <w:abstractNumId w:val="2"/>
  </w:num>
  <w:num w:numId="22" w16cid:durableId="179682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A2D"/>
    <w:rsid w:val="000033F7"/>
    <w:rsid w:val="00003F83"/>
    <w:rsid w:val="000518CB"/>
    <w:rsid w:val="00064137"/>
    <w:rsid w:val="000B05A7"/>
    <w:rsid w:val="000F76C7"/>
    <w:rsid w:val="00100E10"/>
    <w:rsid w:val="00110382"/>
    <w:rsid w:val="00113426"/>
    <w:rsid w:val="00120DD4"/>
    <w:rsid w:val="00122994"/>
    <w:rsid w:val="001339CA"/>
    <w:rsid w:val="001422FB"/>
    <w:rsid w:val="0017228C"/>
    <w:rsid w:val="001807FC"/>
    <w:rsid w:val="001822F8"/>
    <w:rsid w:val="00184F17"/>
    <w:rsid w:val="001A7738"/>
    <w:rsid w:val="001C3D24"/>
    <w:rsid w:val="001D3F8B"/>
    <w:rsid w:val="001E1FD5"/>
    <w:rsid w:val="001F06CD"/>
    <w:rsid w:val="00201633"/>
    <w:rsid w:val="00201D36"/>
    <w:rsid w:val="002153C2"/>
    <w:rsid w:val="00232172"/>
    <w:rsid w:val="002446B7"/>
    <w:rsid w:val="002865C9"/>
    <w:rsid w:val="00290FC5"/>
    <w:rsid w:val="00296B0E"/>
    <w:rsid w:val="002A3A4D"/>
    <w:rsid w:val="002B08D8"/>
    <w:rsid w:val="002B2FA5"/>
    <w:rsid w:val="002C7757"/>
    <w:rsid w:val="002F5615"/>
    <w:rsid w:val="00320899"/>
    <w:rsid w:val="003302B5"/>
    <w:rsid w:val="003830E5"/>
    <w:rsid w:val="00391691"/>
    <w:rsid w:val="003A77AB"/>
    <w:rsid w:val="003B33ED"/>
    <w:rsid w:val="003F55CE"/>
    <w:rsid w:val="004107AD"/>
    <w:rsid w:val="0044061F"/>
    <w:rsid w:val="004541FE"/>
    <w:rsid w:val="004963B9"/>
    <w:rsid w:val="004C1560"/>
    <w:rsid w:val="004E23DF"/>
    <w:rsid w:val="004F621F"/>
    <w:rsid w:val="005114D8"/>
    <w:rsid w:val="00522C89"/>
    <w:rsid w:val="0053639D"/>
    <w:rsid w:val="005612B0"/>
    <w:rsid w:val="00566CCB"/>
    <w:rsid w:val="00570219"/>
    <w:rsid w:val="0059698C"/>
    <w:rsid w:val="005B7465"/>
    <w:rsid w:val="005D3AB5"/>
    <w:rsid w:val="005D7881"/>
    <w:rsid w:val="005E0ACD"/>
    <w:rsid w:val="005E27EB"/>
    <w:rsid w:val="005F247E"/>
    <w:rsid w:val="00605565"/>
    <w:rsid w:val="00612A98"/>
    <w:rsid w:val="00620F0F"/>
    <w:rsid w:val="006322BB"/>
    <w:rsid w:val="00663D6A"/>
    <w:rsid w:val="00670393"/>
    <w:rsid w:val="0068406A"/>
    <w:rsid w:val="00696DC9"/>
    <w:rsid w:val="006A00F1"/>
    <w:rsid w:val="006A4AC0"/>
    <w:rsid w:val="006B1731"/>
    <w:rsid w:val="006B3D77"/>
    <w:rsid w:val="006B66C4"/>
    <w:rsid w:val="00701B8C"/>
    <w:rsid w:val="00716279"/>
    <w:rsid w:val="00716E1A"/>
    <w:rsid w:val="00751292"/>
    <w:rsid w:val="00754488"/>
    <w:rsid w:val="00754F9D"/>
    <w:rsid w:val="007578FD"/>
    <w:rsid w:val="0077211F"/>
    <w:rsid w:val="007A7749"/>
    <w:rsid w:val="007C041B"/>
    <w:rsid w:val="007C0BD3"/>
    <w:rsid w:val="007C469B"/>
    <w:rsid w:val="007E5009"/>
    <w:rsid w:val="007E7906"/>
    <w:rsid w:val="00804014"/>
    <w:rsid w:val="00806BE2"/>
    <w:rsid w:val="008109A8"/>
    <w:rsid w:val="00816132"/>
    <w:rsid w:val="008510FF"/>
    <w:rsid w:val="008630EC"/>
    <w:rsid w:val="00896E38"/>
    <w:rsid w:val="008A2B93"/>
    <w:rsid w:val="008A2CFF"/>
    <w:rsid w:val="008C0D6F"/>
    <w:rsid w:val="00912453"/>
    <w:rsid w:val="00912568"/>
    <w:rsid w:val="00925891"/>
    <w:rsid w:val="009575C5"/>
    <w:rsid w:val="00985766"/>
    <w:rsid w:val="00986FB6"/>
    <w:rsid w:val="009C58F7"/>
    <w:rsid w:val="009C6E9C"/>
    <w:rsid w:val="009E3B70"/>
    <w:rsid w:val="009E6F49"/>
    <w:rsid w:val="00A054DA"/>
    <w:rsid w:val="00A140D7"/>
    <w:rsid w:val="00A46811"/>
    <w:rsid w:val="00A5441B"/>
    <w:rsid w:val="00A765E4"/>
    <w:rsid w:val="00A92A2D"/>
    <w:rsid w:val="00AA5417"/>
    <w:rsid w:val="00AC39F1"/>
    <w:rsid w:val="00AF7048"/>
    <w:rsid w:val="00B12339"/>
    <w:rsid w:val="00B24CAC"/>
    <w:rsid w:val="00B269F3"/>
    <w:rsid w:val="00B32861"/>
    <w:rsid w:val="00B446D5"/>
    <w:rsid w:val="00B51C3A"/>
    <w:rsid w:val="00B63D2A"/>
    <w:rsid w:val="00B64D2D"/>
    <w:rsid w:val="00B76165"/>
    <w:rsid w:val="00B773B8"/>
    <w:rsid w:val="00B90A16"/>
    <w:rsid w:val="00B94125"/>
    <w:rsid w:val="00BA0DDD"/>
    <w:rsid w:val="00BA4E0E"/>
    <w:rsid w:val="00BA627D"/>
    <w:rsid w:val="00C0497B"/>
    <w:rsid w:val="00C12895"/>
    <w:rsid w:val="00C21D2C"/>
    <w:rsid w:val="00C32973"/>
    <w:rsid w:val="00C37427"/>
    <w:rsid w:val="00C5306B"/>
    <w:rsid w:val="00C77F9E"/>
    <w:rsid w:val="00CA41BA"/>
    <w:rsid w:val="00CB249D"/>
    <w:rsid w:val="00CD1201"/>
    <w:rsid w:val="00CE19F7"/>
    <w:rsid w:val="00D5387C"/>
    <w:rsid w:val="00D64636"/>
    <w:rsid w:val="00D74BBA"/>
    <w:rsid w:val="00D97B4A"/>
    <w:rsid w:val="00DB0E7C"/>
    <w:rsid w:val="00DB5AE3"/>
    <w:rsid w:val="00DD7517"/>
    <w:rsid w:val="00E054A4"/>
    <w:rsid w:val="00E158F5"/>
    <w:rsid w:val="00E31D86"/>
    <w:rsid w:val="00E6017A"/>
    <w:rsid w:val="00E60E66"/>
    <w:rsid w:val="00E91E52"/>
    <w:rsid w:val="00F27DAB"/>
    <w:rsid w:val="00F71D06"/>
    <w:rsid w:val="00F839BF"/>
    <w:rsid w:val="00FC3A2B"/>
    <w:rsid w:val="00FD39F5"/>
    <w:rsid w:val="00FE1C91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8C3CC"/>
  <w15:docId w15:val="{1F388963-E467-B340-A591-77B45F9C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1B"/>
  </w:style>
  <w:style w:type="paragraph" w:styleId="Footer">
    <w:name w:val="footer"/>
    <w:basedOn w:val="Normal"/>
    <w:link w:val="FooterChar"/>
    <w:uiPriority w:val="99"/>
    <w:unhideWhenUsed/>
    <w:rsid w:val="007C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41B"/>
  </w:style>
  <w:style w:type="table" w:styleId="TableGrid">
    <w:name w:val="Table Grid"/>
    <w:basedOn w:val="TableNormal"/>
    <w:uiPriority w:val="39"/>
    <w:rsid w:val="001E1FD5"/>
    <w:pPr>
      <w:spacing w:after="0" w:line="240" w:lineRule="auto"/>
    </w:pPr>
    <w:rPr>
      <w:rFonts w:asciiTheme="minorHAnsi" w:eastAsiaTheme="minorHAnsi" w:hAnsiTheme="minorHAnsi" w:cstheme="minorBid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NoSpacing">
    <w:name w:val="No Spacing"/>
    <w:uiPriority w:val="1"/>
    <w:qFormat/>
    <w:rsid w:val="00201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374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68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707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2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8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4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7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Sayantani  Banerjee</cp:lastModifiedBy>
  <cp:revision>127</cp:revision>
  <dcterms:created xsi:type="dcterms:W3CDTF">2022-10-19T15:31:00Z</dcterms:created>
  <dcterms:modified xsi:type="dcterms:W3CDTF">2023-09-15T02:58:00Z</dcterms:modified>
</cp:coreProperties>
</file>