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38325" cy="571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38325" cy="5715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MA ENGLISH – III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OCTOBER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November /December 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EN 9418: World Literatures III 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4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 questions in about 200-250 words.                       (1×15=15)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the trope of identity of inclusion with reference to a minimum of three works from the anglo-spheres.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 you understand the treatment of the English language in the decolonisation of Africa in the specific writings of Chinweizu, Kamau Brathwaite, Gabriel Okara and Derek Walcott?</w:t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questions in about 200 words.                                           (2×10=20)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how Chinua Achebe understands Joseph Conrad's language to be 'othering' the Africans in his essay "An Image of Africa: Racism in Conrad's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Heart of Darkness</w:t>
      </w:r>
      <w:r w:rsidDel="00000000" w:rsidR="00000000" w:rsidRPr="00000000">
        <w:rPr>
          <w:rFonts w:ascii="Arial" w:cs="Arial" w:eastAsia="Arial" w:hAnsi="Arial"/>
          <w:rtl w:val="0"/>
        </w:rPr>
        <w:t xml:space="preserve">".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the conflicting fragmented identities of the speaker in Derek Walcott's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Far Cry from Africa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one of the following questions in about 150 words.                                (1×5=5)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an understanding of decolonisation with reference to the diverse African context in your syllabus.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"For he was a slave/ to drums, to flutes,...After the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bambalula bambalulai</w:t>
      </w:r>
      <w:r w:rsidDel="00000000" w:rsidR="00000000" w:rsidRPr="00000000">
        <w:rPr>
          <w:rFonts w:ascii="Arial" w:cs="Arial" w:eastAsia="Arial" w:hAnsi="Arial"/>
          <w:rtl w:val="0"/>
        </w:rPr>
        <w:t xml:space="preserve"> / he was a slave again": identify and interpret the given lines.</w:t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PART-D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 in about 250 words.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(1×10=10)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Analyse</w:t>
      </w:r>
      <w:r w:rsidDel="00000000" w:rsidR="00000000" w:rsidRPr="00000000">
        <w:rPr>
          <w:rFonts w:ascii="Arial" w:cs="Arial" w:eastAsia="Arial" w:hAnsi="Arial"/>
          <w:rtl w:val="0"/>
        </w:rPr>
        <w:t xml:space="preserve"> the following section from Denis Brutus'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Sirens, Knuckles and Boots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I know unrest returns, the scourge- </w:t>
      </w:r>
    </w:p>
    <w:p w:rsidR="00000000" w:rsidDel="00000000" w:rsidP="00000000" w:rsidRDefault="00000000" w:rsidRPr="00000000" w14:paraId="0000001B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love can pelican-peck for long</w:t>
      </w:r>
    </w:p>
    <w:p w:rsidR="00000000" w:rsidDel="00000000" w:rsidP="00000000" w:rsidRDefault="00000000" w:rsidRPr="00000000" w14:paraId="0000001C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its own swollen heart for sustenance?</w:t>
      </w:r>
    </w:p>
    <w:p w:rsidR="00000000" w:rsidDel="00000000" w:rsidP="00000000" w:rsidRDefault="00000000" w:rsidRPr="00000000" w14:paraId="0000001D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one shake pain as raindrops from a cape?</w:t>
      </w:r>
    </w:p>
    <w:p w:rsidR="00000000" w:rsidDel="00000000" w:rsidP="00000000" w:rsidRDefault="00000000" w:rsidRPr="00000000" w14:paraId="0000001E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the self, an unprotected mollusc, crawl</w:t>
      </w:r>
    </w:p>
    <w:p w:rsidR="00000000" w:rsidDel="00000000" w:rsidP="00000000" w:rsidRDefault="00000000" w:rsidRPr="00000000" w14:paraId="0000001F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 from the past's whorled labyrinths? </w:t>
      </w:r>
    </w:p>
    <w:p w:rsidR="00000000" w:rsidDel="00000000" w:rsidP="00000000" w:rsidRDefault="00000000" w:rsidRPr="00000000" w14:paraId="00000020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 the thought of pains's return brings pain </w:t>
      </w:r>
    </w:p>
    <w:p w:rsidR="00000000" w:rsidDel="00000000" w:rsidP="00000000" w:rsidRDefault="00000000" w:rsidRPr="00000000" w14:paraId="00000021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fissure mars the moment's quiet delf: </w:t>
      </w:r>
    </w:p>
    <w:p w:rsidR="00000000" w:rsidDel="00000000" w:rsidP="00000000" w:rsidRDefault="00000000" w:rsidRPr="00000000" w14:paraId="00000022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 me my heart to hold this instant still,</w:t>
      </w:r>
    </w:p>
    <w:p w:rsidR="00000000" w:rsidDel="00000000" w:rsidP="00000000" w:rsidRDefault="00000000" w:rsidRPr="00000000" w14:paraId="00000023">
      <w:pPr>
        <w:spacing w:after="0" w:line="259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Keep me in quiet's acquiescent curve.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  <w:t xml:space="preserve">EN 9418_A_23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-266697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4" name="image1.png"/>
          <a:graphic>
            <a:graphicData uri="http://schemas.openxmlformats.org/drawingml/2006/picture">
              <pic:pic>
                <pic:nvPicPr>
                  <pic:cNvPr descr="col LOGO out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lsPQC25sCz5QysznghxcW35pA==">CgMxLjA4AHIhMTNtejduWFUzMzR1dGxBNWctZkJ1cTZRcEhIN2Z2X2xU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