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37" w:rsidRPr="009A7237" w:rsidRDefault="009A72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0D02" w:rsidRPr="009A7237" w:rsidRDefault="009A72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A7237">
        <w:rPr>
          <w:rFonts w:ascii="Arial" w:hAnsi="Arial" w:cs="Arial"/>
          <w:noProof/>
          <w:sz w:val="24"/>
          <w:szCs w:val="24"/>
          <w:lang w:val="en-US"/>
        </w:rPr>
        <w:drawing>
          <wp:anchor distT="114300" distB="114300" distL="114300" distR="114300" simplePos="0" relativeHeight="251660288" behindDoc="1" locked="0" layoutInCell="1" hidden="0" allowOverlap="1" wp14:anchorId="1E20AFD7" wp14:editId="67069BF3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679C" w:rsidRPr="009A7237">
        <w:rPr>
          <w:rFonts w:ascii="Arial" w:eastAsia="Arial" w:hAnsi="Arial" w:cs="Arial"/>
          <w:b/>
          <w:sz w:val="24"/>
          <w:szCs w:val="24"/>
        </w:rPr>
        <w:t>ST.JOSEPH’S UNIVERSITY, BENGALURU -27</w:t>
      </w:r>
      <w:r w:rsidR="005D679C" w:rsidRPr="009A723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0D02" w:rsidRDefault="005D679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CB0D02" w:rsidRDefault="005D679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D85fyE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B0D02" w:rsidRDefault="005D679C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CB0D02" w:rsidRDefault="005D679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:rsidR="00CB0D02" w:rsidRPr="009A7237" w:rsidRDefault="00282C7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A7237">
        <w:rPr>
          <w:rFonts w:ascii="Arial" w:eastAsia="Arial" w:hAnsi="Arial" w:cs="Arial"/>
          <w:b/>
          <w:sz w:val="24"/>
          <w:szCs w:val="24"/>
        </w:rPr>
        <w:t>M.COM –</w:t>
      </w:r>
      <w:r w:rsidR="005D679C" w:rsidRPr="009A7237">
        <w:rPr>
          <w:rFonts w:ascii="Arial" w:eastAsia="Arial" w:hAnsi="Arial" w:cs="Arial"/>
          <w:b/>
          <w:sz w:val="24"/>
          <w:szCs w:val="24"/>
        </w:rPr>
        <w:t xml:space="preserve"> II SEMESTER</w:t>
      </w:r>
    </w:p>
    <w:p w:rsidR="00CB0D02" w:rsidRPr="009A7237" w:rsidRDefault="007520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A7237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CB0D02" w:rsidRPr="009A7237" w:rsidRDefault="005D67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A7237">
        <w:rPr>
          <w:rFonts w:ascii="Arial" w:eastAsia="Arial" w:hAnsi="Arial" w:cs="Arial"/>
          <w:b/>
          <w:sz w:val="24"/>
          <w:szCs w:val="24"/>
        </w:rPr>
        <w:t>(E</w:t>
      </w:r>
      <w:r w:rsidR="0075207A" w:rsidRPr="009A7237">
        <w:rPr>
          <w:rFonts w:ascii="Arial" w:eastAsia="Arial" w:hAnsi="Arial" w:cs="Arial"/>
          <w:b/>
          <w:sz w:val="24"/>
          <w:szCs w:val="24"/>
        </w:rPr>
        <w:t>xamination conducted in May</w:t>
      </w:r>
      <w:r w:rsidR="006D304C">
        <w:rPr>
          <w:rFonts w:ascii="Arial" w:eastAsia="Arial" w:hAnsi="Arial" w:cs="Arial"/>
          <w:b/>
          <w:sz w:val="24"/>
          <w:szCs w:val="24"/>
        </w:rPr>
        <w:t>/June</w:t>
      </w:r>
      <w:r w:rsidR="0075207A" w:rsidRPr="009A7237">
        <w:rPr>
          <w:rFonts w:ascii="Arial" w:eastAsia="Arial" w:hAnsi="Arial" w:cs="Arial"/>
          <w:b/>
          <w:sz w:val="24"/>
          <w:szCs w:val="24"/>
        </w:rPr>
        <w:t xml:space="preserve"> 2024</w:t>
      </w:r>
      <w:r w:rsidRPr="009A7237">
        <w:rPr>
          <w:rFonts w:ascii="Arial" w:eastAsia="Arial" w:hAnsi="Arial" w:cs="Arial"/>
          <w:b/>
          <w:sz w:val="24"/>
          <w:szCs w:val="24"/>
        </w:rPr>
        <w:t>)</w:t>
      </w:r>
    </w:p>
    <w:p w:rsidR="00CB0D02" w:rsidRPr="009A7237" w:rsidRDefault="0045666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A7237">
        <w:rPr>
          <w:rFonts w:ascii="Arial" w:eastAsia="Arial" w:hAnsi="Arial" w:cs="Arial"/>
          <w:b/>
          <w:sz w:val="24"/>
          <w:szCs w:val="24"/>
          <w:u w:val="single"/>
        </w:rPr>
        <w:t>MCO</w:t>
      </w:r>
      <w:r w:rsidR="00282C78">
        <w:rPr>
          <w:rFonts w:ascii="Arial" w:eastAsia="Arial" w:hAnsi="Arial" w:cs="Arial"/>
          <w:b/>
          <w:sz w:val="24"/>
          <w:szCs w:val="24"/>
          <w:u w:val="single"/>
        </w:rPr>
        <w:t>8120</w:t>
      </w:r>
      <w:r w:rsidRPr="009A7237">
        <w:rPr>
          <w:rFonts w:ascii="Arial" w:eastAsia="Arial" w:hAnsi="Arial" w:cs="Arial"/>
          <w:b/>
          <w:sz w:val="24"/>
          <w:szCs w:val="24"/>
          <w:u w:val="single"/>
        </w:rPr>
        <w:t xml:space="preserve"> – Strategic Cost Management</w:t>
      </w:r>
    </w:p>
    <w:p w:rsidR="00CB0D02" w:rsidRPr="009A7237" w:rsidRDefault="005D67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A7237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CB0D02" w:rsidRPr="009A7237" w:rsidRDefault="00CB0D0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0D02" w:rsidRPr="009A7237" w:rsidRDefault="005D679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A7237">
        <w:rPr>
          <w:rFonts w:ascii="Arial" w:eastAsia="Arial" w:hAnsi="Arial" w:cs="Arial"/>
          <w:b/>
          <w:sz w:val="24"/>
          <w:szCs w:val="24"/>
        </w:rPr>
        <w:t>Time: 2 Hours</w:t>
      </w:r>
      <w:r w:rsidRPr="009A7237">
        <w:rPr>
          <w:rFonts w:ascii="Arial" w:eastAsia="Arial" w:hAnsi="Arial" w:cs="Arial"/>
          <w:b/>
          <w:sz w:val="24"/>
          <w:szCs w:val="24"/>
        </w:rPr>
        <w:tab/>
      </w:r>
      <w:r w:rsidRPr="009A7237">
        <w:rPr>
          <w:rFonts w:ascii="Arial" w:eastAsia="Arial" w:hAnsi="Arial" w:cs="Arial"/>
          <w:b/>
          <w:sz w:val="24"/>
          <w:szCs w:val="24"/>
        </w:rPr>
        <w:tab/>
      </w:r>
      <w:r w:rsidRPr="009A7237">
        <w:rPr>
          <w:rFonts w:ascii="Arial" w:eastAsia="Arial" w:hAnsi="Arial" w:cs="Arial"/>
          <w:b/>
          <w:sz w:val="24"/>
          <w:szCs w:val="24"/>
        </w:rPr>
        <w:tab/>
      </w:r>
      <w:r w:rsidRPr="009A7237">
        <w:rPr>
          <w:rFonts w:ascii="Arial" w:eastAsia="Arial" w:hAnsi="Arial" w:cs="Arial"/>
          <w:b/>
          <w:sz w:val="24"/>
          <w:szCs w:val="24"/>
        </w:rPr>
        <w:tab/>
      </w:r>
      <w:r w:rsidRPr="009A7237">
        <w:rPr>
          <w:rFonts w:ascii="Arial" w:eastAsia="Arial" w:hAnsi="Arial" w:cs="Arial"/>
          <w:b/>
          <w:sz w:val="24"/>
          <w:szCs w:val="24"/>
        </w:rPr>
        <w:tab/>
      </w:r>
      <w:r w:rsidRPr="009A7237">
        <w:rPr>
          <w:rFonts w:ascii="Arial" w:eastAsia="Arial" w:hAnsi="Arial" w:cs="Arial"/>
          <w:b/>
          <w:sz w:val="24"/>
          <w:szCs w:val="24"/>
        </w:rPr>
        <w:tab/>
      </w:r>
      <w:r w:rsidRPr="009A7237">
        <w:rPr>
          <w:rFonts w:ascii="Arial" w:eastAsia="Arial" w:hAnsi="Arial" w:cs="Arial"/>
          <w:b/>
          <w:sz w:val="24"/>
          <w:szCs w:val="24"/>
        </w:rPr>
        <w:tab/>
      </w:r>
      <w:r w:rsidRPr="009A7237">
        <w:rPr>
          <w:rFonts w:ascii="Arial" w:eastAsia="Arial" w:hAnsi="Arial" w:cs="Arial"/>
          <w:b/>
          <w:sz w:val="24"/>
          <w:szCs w:val="24"/>
        </w:rPr>
        <w:tab/>
        <w:t xml:space="preserve">    Max Marks: 50</w:t>
      </w:r>
    </w:p>
    <w:p w:rsidR="00CB0D02" w:rsidRPr="009A7237" w:rsidRDefault="006D304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This paper contains three printed pages and three</w:t>
      </w:r>
      <w:r w:rsidR="005D679C" w:rsidRPr="009A7237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:rsidR="00CB0D02" w:rsidRPr="009A7237" w:rsidRDefault="00CB0D0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0D02" w:rsidRPr="009A7237" w:rsidRDefault="005D67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A7237">
        <w:rPr>
          <w:rFonts w:ascii="Arial" w:eastAsia="Arial" w:hAnsi="Arial" w:cs="Arial"/>
          <w:b/>
          <w:sz w:val="24"/>
          <w:szCs w:val="24"/>
          <w:u w:val="single"/>
        </w:rPr>
        <w:t>PART-A</w:t>
      </w:r>
    </w:p>
    <w:p w:rsidR="00404D1B" w:rsidRPr="009A7237" w:rsidRDefault="00404D1B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9A7237">
        <w:rPr>
          <w:rFonts w:ascii="Arial" w:hAnsi="Arial" w:cs="Arial"/>
          <w:b/>
          <w:sz w:val="24"/>
          <w:szCs w:val="24"/>
        </w:rPr>
        <w:t>Answer any TWO</w:t>
      </w:r>
      <w:r w:rsidR="00CC0B34">
        <w:rPr>
          <w:rFonts w:ascii="Arial" w:hAnsi="Arial" w:cs="Arial"/>
          <w:b/>
          <w:sz w:val="24"/>
          <w:szCs w:val="24"/>
        </w:rPr>
        <w:t xml:space="preserve"> of the following questions.</w:t>
      </w:r>
      <w:r w:rsidR="00CC0B34">
        <w:rPr>
          <w:rFonts w:ascii="Arial" w:hAnsi="Arial" w:cs="Arial"/>
          <w:b/>
          <w:sz w:val="24"/>
          <w:szCs w:val="24"/>
        </w:rPr>
        <w:tab/>
      </w:r>
      <w:r w:rsidR="00CC0B34">
        <w:rPr>
          <w:rFonts w:ascii="Arial" w:hAnsi="Arial" w:cs="Arial"/>
          <w:b/>
          <w:sz w:val="24"/>
          <w:szCs w:val="24"/>
        </w:rPr>
        <w:tab/>
      </w:r>
      <w:r w:rsidR="00CC0B34">
        <w:rPr>
          <w:rFonts w:ascii="Arial" w:hAnsi="Arial" w:cs="Arial"/>
          <w:b/>
          <w:sz w:val="24"/>
          <w:szCs w:val="24"/>
        </w:rPr>
        <w:tab/>
      </w:r>
      <w:r w:rsidRPr="009A7237">
        <w:rPr>
          <w:rFonts w:ascii="Arial" w:hAnsi="Arial" w:cs="Arial"/>
          <w:b/>
          <w:sz w:val="24"/>
          <w:szCs w:val="24"/>
        </w:rPr>
        <w:t xml:space="preserve"> (2 x 5 marks =10)</w:t>
      </w:r>
    </w:p>
    <w:p w:rsidR="00F0304B" w:rsidRPr="009A7237" w:rsidRDefault="00F0304B">
      <w:pPr>
        <w:spacing w:after="0"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:rsidR="00F0304B" w:rsidRPr="009A7237" w:rsidRDefault="00F0304B" w:rsidP="00F0304B">
      <w:pPr>
        <w:pStyle w:val="Normal1"/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sz w:val="24"/>
          <w:szCs w:val="24"/>
        </w:rPr>
        <w:t>A manufacturing concern which has adopted standard costing furnishes the following information.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 w:rsidRPr="009A7237">
        <w:rPr>
          <w:rFonts w:ascii="Arial" w:eastAsia="Arial" w:hAnsi="Arial" w:cs="Arial"/>
          <w:b/>
          <w:sz w:val="24"/>
          <w:szCs w:val="24"/>
        </w:rPr>
        <w:t>Standard: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sz w:val="24"/>
          <w:szCs w:val="24"/>
        </w:rPr>
        <w:t>Material for 70 Kg of finished product of 100 Kg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sz w:val="24"/>
          <w:szCs w:val="24"/>
        </w:rPr>
        <w:t>Price of materials Re.1 per kg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 w:rsidRPr="009A7237">
        <w:rPr>
          <w:rFonts w:ascii="Arial" w:eastAsia="Arial" w:hAnsi="Arial" w:cs="Arial"/>
          <w:b/>
          <w:sz w:val="24"/>
          <w:szCs w:val="24"/>
        </w:rPr>
        <w:t>Actual: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sz w:val="24"/>
          <w:szCs w:val="24"/>
        </w:rPr>
        <w:t>Output 2</w:t>
      </w:r>
      <w:proofErr w:type="gramStart"/>
      <w:r w:rsidRPr="009A7237">
        <w:rPr>
          <w:rFonts w:ascii="Arial" w:eastAsia="Arial" w:hAnsi="Arial" w:cs="Arial"/>
          <w:sz w:val="24"/>
          <w:szCs w:val="24"/>
        </w:rPr>
        <w:t>,10,000</w:t>
      </w:r>
      <w:proofErr w:type="gramEnd"/>
      <w:r w:rsidRPr="009A7237">
        <w:rPr>
          <w:rFonts w:ascii="Arial" w:eastAsia="Arial" w:hAnsi="Arial" w:cs="Arial"/>
          <w:sz w:val="24"/>
          <w:szCs w:val="24"/>
        </w:rPr>
        <w:t xml:space="preserve"> kg.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sz w:val="24"/>
          <w:szCs w:val="24"/>
        </w:rPr>
        <w:t>Material used 2</w:t>
      </w:r>
      <w:proofErr w:type="gramStart"/>
      <w:r w:rsidRPr="009A7237">
        <w:rPr>
          <w:rFonts w:ascii="Arial" w:eastAsia="Arial" w:hAnsi="Arial" w:cs="Arial"/>
          <w:sz w:val="24"/>
          <w:szCs w:val="24"/>
        </w:rPr>
        <w:t>,80,000</w:t>
      </w:r>
      <w:proofErr w:type="gramEnd"/>
      <w:r w:rsidRPr="009A7237">
        <w:rPr>
          <w:rFonts w:ascii="Arial" w:eastAsia="Arial" w:hAnsi="Arial" w:cs="Arial"/>
          <w:sz w:val="24"/>
          <w:szCs w:val="24"/>
        </w:rPr>
        <w:t xml:space="preserve"> kg.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sz w:val="24"/>
          <w:szCs w:val="24"/>
        </w:rPr>
        <w:t>Cost of materials Rs.2</w:t>
      </w:r>
      <w:proofErr w:type="gramStart"/>
      <w:r w:rsidRPr="009A7237">
        <w:rPr>
          <w:rFonts w:ascii="Arial" w:eastAsia="Arial" w:hAnsi="Arial" w:cs="Arial"/>
          <w:sz w:val="24"/>
          <w:szCs w:val="24"/>
        </w:rPr>
        <w:t>,52,000</w:t>
      </w:r>
      <w:proofErr w:type="gramEnd"/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 w:rsidRPr="009A7237">
        <w:rPr>
          <w:rFonts w:ascii="Arial" w:eastAsia="Arial" w:hAnsi="Arial" w:cs="Arial"/>
          <w:b/>
          <w:sz w:val="24"/>
          <w:szCs w:val="24"/>
        </w:rPr>
        <w:t>Calculate: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sz w:val="24"/>
          <w:szCs w:val="24"/>
        </w:rPr>
        <w:t>a. Material Usage Variance</w:t>
      </w:r>
    </w:p>
    <w:p w:rsidR="00F0304B" w:rsidRPr="009A7237" w:rsidRDefault="00F0304B" w:rsidP="00F0304B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sz w:val="24"/>
          <w:szCs w:val="24"/>
        </w:rPr>
        <w:t>b. Material Price Variance</w:t>
      </w:r>
    </w:p>
    <w:p w:rsidR="00EA6EC3" w:rsidRPr="009A7237" w:rsidRDefault="00EA6EC3" w:rsidP="009A723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A7719" w:rsidRPr="009A7237" w:rsidRDefault="002A7719" w:rsidP="002A7719">
      <w:pPr>
        <w:pStyle w:val="Normal1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7237">
        <w:rPr>
          <w:rFonts w:ascii="Arial" w:hAnsi="Arial" w:cs="Arial"/>
          <w:sz w:val="24"/>
          <w:szCs w:val="24"/>
        </w:rPr>
        <w:t>A company is currently producing 10,000 units of a product and selling them at a price of Rs.50 per unit. The variable cost per unit is Rs.30 and the fixed costs are Rs.100</w:t>
      </w:r>
      <w:proofErr w:type="gramStart"/>
      <w:r w:rsidRPr="009A7237">
        <w:rPr>
          <w:rFonts w:ascii="Arial" w:hAnsi="Arial" w:cs="Arial"/>
          <w:sz w:val="24"/>
          <w:szCs w:val="24"/>
        </w:rPr>
        <w:t>,000</w:t>
      </w:r>
      <w:proofErr w:type="gramEnd"/>
      <w:r w:rsidRPr="009A7237">
        <w:rPr>
          <w:rFonts w:ascii="Arial" w:hAnsi="Arial" w:cs="Arial"/>
          <w:sz w:val="24"/>
          <w:szCs w:val="24"/>
        </w:rPr>
        <w:t xml:space="preserve"> per period. The company has an opportunity to sell an additional 2,000 units to a new customer at a special price of Rs.40 per unit. However, this would require an additional fixed cost of Rs.20</w:t>
      </w:r>
      <w:proofErr w:type="gramStart"/>
      <w:r w:rsidR="006D304C">
        <w:rPr>
          <w:rFonts w:ascii="Arial" w:hAnsi="Arial" w:cs="Arial"/>
          <w:sz w:val="24"/>
          <w:szCs w:val="24"/>
        </w:rPr>
        <w:t>,</w:t>
      </w:r>
      <w:r w:rsidR="006D304C" w:rsidRPr="009A7237">
        <w:rPr>
          <w:rFonts w:ascii="Arial" w:hAnsi="Arial" w:cs="Arial"/>
          <w:sz w:val="24"/>
          <w:szCs w:val="24"/>
        </w:rPr>
        <w:t>000</w:t>
      </w:r>
      <w:proofErr w:type="gramEnd"/>
      <w:r w:rsidRPr="009A7237">
        <w:rPr>
          <w:rFonts w:ascii="Arial" w:hAnsi="Arial" w:cs="Arial"/>
          <w:sz w:val="24"/>
          <w:szCs w:val="24"/>
        </w:rPr>
        <w:t xml:space="preserve"> for marketing and distribution. Should the company accept this offer based on marginal costing?</w:t>
      </w:r>
    </w:p>
    <w:p w:rsidR="002A7719" w:rsidRPr="009A7237" w:rsidRDefault="002A7719" w:rsidP="002A7719">
      <w:pPr>
        <w:rPr>
          <w:rFonts w:ascii="Arial" w:hAnsi="Arial" w:cs="Arial"/>
          <w:sz w:val="24"/>
          <w:szCs w:val="24"/>
        </w:rPr>
      </w:pPr>
      <w:r w:rsidRPr="009A7237">
        <w:rPr>
          <w:rFonts w:ascii="Arial" w:hAnsi="Arial" w:cs="Arial"/>
          <w:sz w:val="24"/>
          <w:szCs w:val="24"/>
        </w:rPr>
        <w:t xml:space="preserve"> </w:t>
      </w:r>
      <w:r w:rsidRPr="009A7237">
        <w:rPr>
          <w:rFonts w:ascii="Arial" w:hAnsi="Arial" w:cs="Arial"/>
          <w:sz w:val="24"/>
          <w:szCs w:val="24"/>
        </w:rPr>
        <w:tab/>
        <w:t xml:space="preserve">Show necessary calculations and explain </w:t>
      </w:r>
      <w:r w:rsidR="0075207A" w:rsidRPr="009A7237">
        <w:rPr>
          <w:rFonts w:ascii="Arial" w:hAnsi="Arial" w:cs="Arial"/>
          <w:sz w:val="24"/>
          <w:szCs w:val="24"/>
        </w:rPr>
        <w:t>your decision.</w:t>
      </w:r>
    </w:p>
    <w:p w:rsidR="009A7237" w:rsidRPr="009A7237" w:rsidRDefault="00AB2791" w:rsidP="009A7237">
      <w:pPr>
        <w:pStyle w:val="Normal1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A7237">
        <w:rPr>
          <w:rFonts w:ascii="Arial" w:hAnsi="Arial" w:cs="Arial"/>
          <w:iCs/>
          <w:sz w:val="24"/>
          <w:szCs w:val="24"/>
        </w:rPr>
        <w:t>Organizations</w:t>
      </w:r>
      <w:r w:rsidRPr="009A7237">
        <w:rPr>
          <w:rStyle w:val="Emphasis"/>
          <w:rFonts w:ascii="Arial" w:hAnsi="Arial" w:cs="Arial"/>
          <w:i w:val="0"/>
          <w:sz w:val="24"/>
          <w:szCs w:val="24"/>
        </w:rPr>
        <w:t xml:space="preserve"> are constantly trying to find ways to become more efficient and reduce costs. However, once manufacturing firms design a product and begin production, it is difficult to make significant changes that will reduce costs. How can target costing help with this issue?</w:t>
      </w:r>
    </w:p>
    <w:p w:rsidR="006D304C" w:rsidRDefault="006D304C" w:rsidP="00404D1B">
      <w:pPr>
        <w:tabs>
          <w:tab w:val="center" w:pos="4680"/>
          <w:tab w:val="left" w:pos="6643"/>
        </w:tabs>
        <w:jc w:val="center"/>
        <w:rPr>
          <w:rFonts w:ascii="Arial" w:hAnsi="Arial" w:cs="Arial"/>
          <w:b/>
          <w:sz w:val="24"/>
          <w:szCs w:val="24"/>
        </w:rPr>
      </w:pPr>
    </w:p>
    <w:p w:rsidR="00404D1B" w:rsidRPr="009A7237" w:rsidRDefault="00404D1B" w:rsidP="00404D1B">
      <w:pPr>
        <w:tabs>
          <w:tab w:val="center" w:pos="4680"/>
          <w:tab w:val="left" w:pos="6643"/>
        </w:tabs>
        <w:jc w:val="center"/>
        <w:rPr>
          <w:rFonts w:ascii="Arial" w:hAnsi="Arial" w:cs="Arial"/>
          <w:b/>
          <w:sz w:val="24"/>
          <w:szCs w:val="24"/>
        </w:rPr>
      </w:pPr>
      <w:r w:rsidRPr="009A7237">
        <w:rPr>
          <w:rFonts w:ascii="Arial" w:hAnsi="Arial" w:cs="Arial"/>
          <w:b/>
          <w:sz w:val="24"/>
          <w:szCs w:val="24"/>
        </w:rPr>
        <w:lastRenderedPageBreak/>
        <w:t>Section B</w:t>
      </w:r>
    </w:p>
    <w:p w:rsidR="00404D1B" w:rsidRPr="009A7237" w:rsidRDefault="00404D1B" w:rsidP="00404D1B">
      <w:pPr>
        <w:tabs>
          <w:tab w:val="center" w:pos="4680"/>
          <w:tab w:val="left" w:pos="6643"/>
        </w:tabs>
        <w:jc w:val="center"/>
        <w:rPr>
          <w:rFonts w:ascii="Arial" w:hAnsi="Arial" w:cs="Arial"/>
          <w:b/>
          <w:sz w:val="24"/>
          <w:szCs w:val="24"/>
        </w:rPr>
      </w:pPr>
      <w:r w:rsidRPr="009A7237">
        <w:rPr>
          <w:rFonts w:ascii="Arial" w:hAnsi="Arial" w:cs="Arial"/>
          <w:b/>
          <w:sz w:val="24"/>
          <w:szCs w:val="24"/>
        </w:rPr>
        <w:t xml:space="preserve">Answer any TWO of the following questions. </w:t>
      </w:r>
      <w:r w:rsidRPr="009A7237">
        <w:rPr>
          <w:rFonts w:ascii="Arial" w:hAnsi="Arial" w:cs="Arial"/>
          <w:b/>
          <w:sz w:val="24"/>
          <w:szCs w:val="24"/>
        </w:rPr>
        <w:tab/>
      </w:r>
      <w:r w:rsidRPr="009A7237">
        <w:rPr>
          <w:rFonts w:ascii="Arial" w:hAnsi="Arial" w:cs="Arial"/>
          <w:b/>
          <w:sz w:val="24"/>
          <w:szCs w:val="24"/>
        </w:rPr>
        <w:tab/>
        <w:t>(2 x 15 marks = 30)</w:t>
      </w:r>
    </w:p>
    <w:p w:rsidR="00AB2791" w:rsidRPr="009A7237" w:rsidRDefault="00AB2791" w:rsidP="00AB2791">
      <w:pPr>
        <w:pStyle w:val="Normal1"/>
        <w:numPr>
          <w:ilvl w:val="0"/>
          <w:numId w:val="5"/>
        </w:numPr>
        <w:spacing w:after="0" w:line="259" w:lineRule="auto"/>
        <w:rPr>
          <w:rFonts w:ascii="Arial" w:eastAsia="CenturyGothic" w:hAnsi="Arial" w:cs="Arial"/>
          <w:color w:val="000000" w:themeColor="text1"/>
          <w:sz w:val="24"/>
          <w:szCs w:val="24"/>
        </w:rPr>
      </w:pPr>
      <w:proofErr w:type="spellStart"/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Trimake</w:t>
      </w:r>
      <w:proofErr w:type="spellEnd"/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 xml:space="preserve"> Limited makes three main products, using broadly the same production methods and equipment for each. A conventional product costing system is used at present, although an Activity Based Costing (ABC) system is being considered. Details of the three products, for typical period are:</w:t>
      </w: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859"/>
        <w:gridCol w:w="1868"/>
        <w:gridCol w:w="1865"/>
        <w:gridCol w:w="1872"/>
      </w:tblGrid>
      <w:tr w:rsidR="00AB2791" w:rsidRPr="009A7237" w:rsidTr="001C5E76"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 xml:space="preserve"> Hours per unit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Machine Hours per unit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Material Per unit</w:t>
            </w:r>
          </w:p>
        </w:tc>
        <w:tc>
          <w:tcPr>
            <w:tcW w:w="1916" w:type="dxa"/>
          </w:tcPr>
          <w:p w:rsidR="00AB2791" w:rsidRPr="009A7237" w:rsidRDefault="00AB2791" w:rsidP="001C5E7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Volumes Units</w:t>
            </w:r>
          </w:p>
        </w:tc>
      </w:tr>
      <w:tr w:rsidR="00AB2791" w:rsidRPr="009A7237" w:rsidTr="001C5E76"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Product X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½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1 ½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Rs.20</w:t>
            </w:r>
          </w:p>
        </w:tc>
        <w:tc>
          <w:tcPr>
            <w:tcW w:w="1916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750</w:t>
            </w:r>
          </w:p>
        </w:tc>
      </w:tr>
      <w:tr w:rsidR="00AB2791" w:rsidRPr="009A7237" w:rsidTr="001C5E76"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Product Y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1 ½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Rs.12</w:t>
            </w:r>
          </w:p>
        </w:tc>
        <w:tc>
          <w:tcPr>
            <w:tcW w:w="1916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AB2791" w:rsidRPr="009A7237" w:rsidTr="001C5E76"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Product Z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Rs.25</w:t>
            </w:r>
          </w:p>
        </w:tc>
        <w:tc>
          <w:tcPr>
            <w:tcW w:w="1916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7000</w:t>
            </w:r>
          </w:p>
        </w:tc>
      </w:tr>
    </w:tbl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color w:val="000000" w:themeColor="text1"/>
          <w:sz w:val="24"/>
          <w:szCs w:val="24"/>
        </w:rPr>
      </w:pP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color w:val="000000" w:themeColor="text1"/>
          <w:sz w:val="24"/>
          <w:szCs w:val="24"/>
        </w:rPr>
      </w:pPr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 xml:space="preserve">Direct </w:t>
      </w:r>
      <w:proofErr w:type="spellStart"/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labour</w:t>
      </w:r>
      <w:proofErr w:type="spellEnd"/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 xml:space="preserve"> costs </w:t>
      </w:r>
      <w:proofErr w:type="spellStart"/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Rs</w:t>
      </w:r>
      <w:proofErr w:type="spellEnd"/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. 6 per hour and production overheads are absorbed on machine hour basis. The rate for the period is Rs.28 per machine hour.</w:t>
      </w: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Further analysis shows that the total of production overheads are Rs.6</w:t>
      </w:r>
      <w:proofErr w:type="gramStart"/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,54,500</w:t>
      </w:r>
      <w:proofErr w:type="gramEnd"/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 xml:space="preserve"> and can be divided as follows:</w:t>
      </w: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2503"/>
      </w:tblGrid>
      <w:tr w:rsidR="00AB2791" w:rsidRPr="009A7237" w:rsidTr="001C5E76">
        <w:tc>
          <w:tcPr>
            <w:tcW w:w="70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25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Percentage (%)</w:t>
            </w:r>
          </w:p>
        </w:tc>
      </w:tr>
      <w:tr w:rsidR="00AB2791" w:rsidRPr="009A7237" w:rsidTr="001C5E76">
        <w:tc>
          <w:tcPr>
            <w:tcW w:w="70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Costs relating to set-ups</w:t>
            </w:r>
          </w:p>
        </w:tc>
        <w:tc>
          <w:tcPr>
            <w:tcW w:w="25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35</w:t>
            </w:r>
          </w:p>
        </w:tc>
      </w:tr>
      <w:tr w:rsidR="00AB2791" w:rsidRPr="009A7237" w:rsidTr="001C5E76">
        <w:tc>
          <w:tcPr>
            <w:tcW w:w="70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Costs relating to machinery</w:t>
            </w:r>
          </w:p>
        </w:tc>
        <w:tc>
          <w:tcPr>
            <w:tcW w:w="25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B2791" w:rsidRPr="009A7237" w:rsidTr="001C5E76">
        <w:tc>
          <w:tcPr>
            <w:tcW w:w="7038" w:type="dxa"/>
          </w:tcPr>
          <w:p w:rsidR="00AB2791" w:rsidRPr="009A7237" w:rsidRDefault="00AB2791" w:rsidP="001C5E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Costs relating to materials handling</w:t>
            </w:r>
          </w:p>
        </w:tc>
        <w:tc>
          <w:tcPr>
            <w:tcW w:w="2538" w:type="dxa"/>
          </w:tcPr>
          <w:p w:rsidR="00AB2791" w:rsidRPr="009A7237" w:rsidRDefault="00AB2791" w:rsidP="001C5E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B2791" w:rsidRPr="009A7237" w:rsidTr="001C5E76">
        <w:tc>
          <w:tcPr>
            <w:tcW w:w="70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Costs relating to inspection</w:t>
            </w:r>
          </w:p>
        </w:tc>
        <w:tc>
          <w:tcPr>
            <w:tcW w:w="25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B2791" w:rsidRPr="009A7237" w:rsidTr="001C5E76">
        <w:tc>
          <w:tcPr>
            <w:tcW w:w="70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Total production overhead</w:t>
            </w:r>
          </w:p>
        </w:tc>
        <w:tc>
          <w:tcPr>
            <w:tcW w:w="253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color w:val="000000" w:themeColor="text1"/>
          <w:sz w:val="24"/>
          <w:szCs w:val="24"/>
        </w:rPr>
      </w:pP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color w:val="000000" w:themeColor="text1"/>
          <w:sz w:val="24"/>
          <w:szCs w:val="24"/>
        </w:rPr>
      </w:pPr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The following activity volumes are associated with the product line for the period as a whole.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1727"/>
        <w:gridCol w:w="2633"/>
        <w:gridCol w:w="2650"/>
      </w:tblGrid>
      <w:tr w:rsidR="00AB2791" w:rsidRPr="009A7237" w:rsidTr="001C5E76">
        <w:tc>
          <w:tcPr>
            <w:tcW w:w="239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176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Number of Set-ups</w:t>
            </w:r>
          </w:p>
        </w:tc>
        <w:tc>
          <w:tcPr>
            <w:tcW w:w="2700" w:type="dxa"/>
          </w:tcPr>
          <w:p w:rsidR="00AB2791" w:rsidRPr="009A7237" w:rsidRDefault="00AB2791" w:rsidP="001C5E7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Number of movements of materials</w:t>
            </w:r>
          </w:p>
        </w:tc>
        <w:tc>
          <w:tcPr>
            <w:tcW w:w="2718" w:type="dxa"/>
          </w:tcPr>
          <w:p w:rsidR="00AB2791" w:rsidRPr="009A7237" w:rsidRDefault="00AB2791" w:rsidP="001C5E7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Number of Inspections</w:t>
            </w:r>
          </w:p>
        </w:tc>
      </w:tr>
      <w:tr w:rsidR="00AB2791" w:rsidRPr="009A7237" w:rsidTr="001C5E76">
        <w:tc>
          <w:tcPr>
            <w:tcW w:w="239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Product X</w:t>
            </w:r>
          </w:p>
        </w:tc>
        <w:tc>
          <w:tcPr>
            <w:tcW w:w="1764" w:type="dxa"/>
          </w:tcPr>
          <w:p w:rsidR="00AB2791" w:rsidRPr="009A7237" w:rsidRDefault="00AB2791" w:rsidP="001C5E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700" w:type="dxa"/>
          </w:tcPr>
          <w:p w:rsidR="00AB2791" w:rsidRPr="009A7237" w:rsidRDefault="00AB2791" w:rsidP="001C5E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18" w:type="dxa"/>
          </w:tcPr>
          <w:p w:rsidR="00AB2791" w:rsidRPr="009A7237" w:rsidRDefault="00AB2791" w:rsidP="001C5E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AB2791" w:rsidRPr="009A7237" w:rsidTr="001C5E76">
        <w:tc>
          <w:tcPr>
            <w:tcW w:w="239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Product Y</w:t>
            </w:r>
          </w:p>
        </w:tc>
        <w:tc>
          <w:tcPr>
            <w:tcW w:w="176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700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1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AB2791" w:rsidRPr="009A7237" w:rsidTr="001C5E76">
        <w:tc>
          <w:tcPr>
            <w:tcW w:w="239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color w:val="000000" w:themeColor="text1"/>
                <w:sz w:val="24"/>
                <w:szCs w:val="24"/>
              </w:rPr>
              <w:t>Product Z</w:t>
            </w:r>
          </w:p>
        </w:tc>
        <w:tc>
          <w:tcPr>
            <w:tcW w:w="176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2700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71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color w:val="000000" w:themeColor="text1"/>
                <w:sz w:val="24"/>
                <w:szCs w:val="24"/>
              </w:rPr>
              <w:t>670</w:t>
            </w:r>
          </w:p>
        </w:tc>
      </w:tr>
      <w:tr w:rsidR="00AB2791" w:rsidRPr="009A7237" w:rsidTr="001C5E76">
        <w:tc>
          <w:tcPr>
            <w:tcW w:w="239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eastAsia="CenturyGothic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64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2700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718" w:type="dxa"/>
          </w:tcPr>
          <w:p w:rsidR="00AB2791" w:rsidRPr="009A7237" w:rsidRDefault="00AB2791" w:rsidP="001C5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A72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1,000</w:t>
            </w:r>
          </w:p>
        </w:tc>
      </w:tr>
    </w:tbl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b/>
          <w:color w:val="000000" w:themeColor="text1"/>
          <w:sz w:val="24"/>
          <w:szCs w:val="24"/>
        </w:rPr>
      </w:pPr>
      <w:r w:rsidRPr="009A7237">
        <w:rPr>
          <w:rFonts w:ascii="Arial" w:eastAsia="CenturyGothic" w:hAnsi="Arial" w:cs="Arial"/>
          <w:b/>
          <w:color w:val="000000" w:themeColor="text1"/>
          <w:sz w:val="24"/>
          <w:szCs w:val="24"/>
        </w:rPr>
        <w:t>You are required:</w:t>
      </w: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color w:val="000000" w:themeColor="text1"/>
          <w:sz w:val="24"/>
          <w:szCs w:val="24"/>
        </w:rPr>
      </w:pPr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(a) To calculate the cost per unit for each product using conventional method. (5 marks)</w:t>
      </w: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7237">
        <w:rPr>
          <w:rFonts w:ascii="Arial" w:eastAsia="CenturyGothic" w:hAnsi="Arial" w:cs="Arial"/>
          <w:color w:val="000000" w:themeColor="text1"/>
          <w:sz w:val="24"/>
          <w:szCs w:val="24"/>
        </w:rPr>
        <w:t>b) To calculate the cost per unit for each product using ABC principles (10 marks)</w:t>
      </w: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2791" w:rsidRPr="009A7237" w:rsidRDefault="00AB2791" w:rsidP="00AB2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2791" w:rsidRPr="009A7237" w:rsidRDefault="009A7237" w:rsidP="009A7237">
      <w:pPr>
        <w:tabs>
          <w:tab w:val="left" w:pos="30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7237">
        <w:rPr>
          <w:rFonts w:ascii="Arial" w:hAnsi="Arial" w:cs="Arial"/>
          <w:sz w:val="24"/>
          <w:szCs w:val="24"/>
        </w:rPr>
        <w:tab/>
      </w:r>
    </w:p>
    <w:p w:rsidR="005C513F" w:rsidRPr="009A7237" w:rsidRDefault="005C513F" w:rsidP="009A72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C513F" w:rsidRPr="009A7237" w:rsidRDefault="005C513F" w:rsidP="005C513F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360B5C" w:rsidRPr="009A7237" w:rsidRDefault="00360B5C" w:rsidP="0075207A">
      <w:pPr>
        <w:pStyle w:val="Normal1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A7237">
        <w:rPr>
          <w:rFonts w:ascii="Arial" w:eastAsia="Arial" w:hAnsi="Arial" w:cs="Arial"/>
          <w:b/>
          <w:sz w:val="24"/>
          <w:szCs w:val="24"/>
        </w:rPr>
        <w:t>A)</w:t>
      </w:r>
      <w:r w:rsidRPr="009A7237">
        <w:rPr>
          <w:rFonts w:ascii="Arial" w:eastAsia="Arial" w:hAnsi="Arial" w:cs="Arial"/>
          <w:sz w:val="24"/>
          <w:szCs w:val="24"/>
        </w:rPr>
        <w:t xml:space="preserve"> What is </w:t>
      </w:r>
      <w:r w:rsidR="0075207A" w:rsidRPr="009A7237">
        <w:rPr>
          <w:rFonts w:ascii="Arial" w:eastAsia="Arial" w:hAnsi="Arial" w:cs="Arial"/>
          <w:sz w:val="24"/>
          <w:szCs w:val="24"/>
        </w:rPr>
        <w:t>Responsibility Accounting</w:t>
      </w:r>
      <w:r w:rsidRPr="009A7237">
        <w:rPr>
          <w:rFonts w:ascii="Arial" w:eastAsia="Arial" w:hAnsi="Arial" w:cs="Arial"/>
          <w:sz w:val="24"/>
          <w:szCs w:val="24"/>
        </w:rPr>
        <w:t>?  Explain the different responsibility centres. (7 marks)</w:t>
      </w:r>
    </w:p>
    <w:p w:rsidR="00360B5C" w:rsidRPr="009A7237" w:rsidRDefault="00360B5C" w:rsidP="0075207A">
      <w:pPr>
        <w:pStyle w:val="ListParagraph"/>
        <w:jc w:val="both"/>
        <w:rPr>
          <w:rFonts w:ascii="Arial" w:hAnsi="Arial" w:cs="Arial"/>
        </w:rPr>
      </w:pPr>
    </w:p>
    <w:p w:rsidR="00360B5C" w:rsidRPr="009A7237" w:rsidRDefault="00D94201" w:rsidP="0075207A">
      <w:pPr>
        <w:pStyle w:val="ListParagraph"/>
        <w:autoSpaceDE w:val="0"/>
        <w:autoSpaceDN w:val="0"/>
        <w:adjustRightInd w:val="0"/>
        <w:rPr>
          <w:rFonts w:ascii="Arial" w:eastAsia="Arial" w:hAnsi="Arial" w:cs="Arial"/>
        </w:rPr>
      </w:pPr>
      <w:r w:rsidRPr="009A7237">
        <w:rPr>
          <w:rFonts w:ascii="Arial" w:eastAsia="Arial" w:hAnsi="Arial" w:cs="Arial"/>
          <w:b/>
        </w:rPr>
        <w:t>B)</w:t>
      </w:r>
      <w:r w:rsidRPr="009A7237">
        <w:rPr>
          <w:rFonts w:ascii="Arial" w:hAnsi="Arial" w:cs="Arial"/>
        </w:rPr>
        <w:t xml:space="preserve"> </w:t>
      </w:r>
      <w:r w:rsidR="00360B5C" w:rsidRPr="009A7237">
        <w:rPr>
          <w:rFonts w:ascii="Arial" w:eastAsia="Arial" w:hAnsi="Arial" w:cs="Arial"/>
        </w:rPr>
        <w:t>How do organizations ensure alignment between the four perspectives of the Balanced Scorecard to achieve strategic goals and maintain competitive advantage? Explain using the four perspectives</w:t>
      </w:r>
      <w:r w:rsidR="0075207A" w:rsidRPr="009A7237">
        <w:rPr>
          <w:rFonts w:ascii="Arial" w:eastAsia="Arial" w:hAnsi="Arial" w:cs="Arial"/>
        </w:rPr>
        <w:t>. (8 marks)</w:t>
      </w:r>
    </w:p>
    <w:p w:rsidR="00404D1B" w:rsidRPr="009A7237" w:rsidRDefault="00404D1B" w:rsidP="00360B5C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2A7719" w:rsidRPr="009A7237" w:rsidRDefault="002A7719" w:rsidP="002A7719">
      <w:pPr>
        <w:pStyle w:val="Normal1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7237">
        <w:rPr>
          <w:rFonts w:ascii="Arial" w:hAnsi="Arial" w:cs="Arial"/>
          <w:sz w:val="24"/>
          <w:szCs w:val="24"/>
        </w:rPr>
        <w:t>ABC Co. wished to arrange overdraft facilities with its bankers during the period April 2024 to June 2024 when it will be manufacturing mostly for the stock. Prepare a Cash Budget for the above period from the following data, indicating the extent of the bank facilities the company will require at the end of each month.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221"/>
        <w:gridCol w:w="2236"/>
        <w:gridCol w:w="2236"/>
        <w:gridCol w:w="2207"/>
      </w:tblGrid>
      <w:tr w:rsidR="002A7719" w:rsidRPr="009A7237" w:rsidTr="001C5E76">
        <w:tc>
          <w:tcPr>
            <w:tcW w:w="2276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A7237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A7237">
              <w:rPr>
                <w:rFonts w:ascii="Arial" w:hAnsi="Arial" w:cs="Arial"/>
                <w:b/>
              </w:rPr>
              <w:t>Sales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A7237">
              <w:rPr>
                <w:rFonts w:ascii="Arial" w:hAnsi="Arial" w:cs="Arial"/>
                <w:b/>
              </w:rPr>
              <w:t>Purchases</w:t>
            </w:r>
          </w:p>
        </w:tc>
        <w:tc>
          <w:tcPr>
            <w:tcW w:w="2272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A7237">
              <w:rPr>
                <w:rFonts w:ascii="Arial" w:hAnsi="Arial" w:cs="Arial"/>
                <w:b/>
              </w:rPr>
              <w:t>Wages</w:t>
            </w:r>
          </w:p>
        </w:tc>
      </w:tr>
      <w:tr w:rsidR="002A7719" w:rsidRPr="009A7237" w:rsidTr="001C5E76">
        <w:tc>
          <w:tcPr>
            <w:tcW w:w="2276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February 2024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Rs.1,80,000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Rs.1,24,800</w:t>
            </w:r>
          </w:p>
        </w:tc>
        <w:tc>
          <w:tcPr>
            <w:tcW w:w="2272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Rs.12,000</w:t>
            </w:r>
          </w:p>
        </w:tc>
      </w:tr>
      <w:tr w:rsidR="002A7719" w:rsidRPr="009A7237" w:rsidTr="001C5E76">
        <w:tc>
          <w:tcPr>
            <w:tcW w:w="2276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March 2024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9A7237">
              <w:rPr>
                <w:rFonts w:ascii="Arial" w:hAnsi="Arial" w:cs="Arial"/>
              </w:rPr>
              <w:t>Rs</w:t>
            </w:r>
            <w:proofErr w:type="spellEnd"/>
            <w:r w:rsidRPr="009A7237">
              <w:rPr>
                <w:rFonts w:ascii="Arial" w:hAnsi="Arial" w:cs="Arial"/>
              </w:rPr>
              <w:t>. 1,92,000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Rs.1,44,000</w:t>
            </w:r>
          </w:p>
        </w:tc>
        <w:tc>
          <w:tcPr>
            <w:tcW w:w="2272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Rs.14,000</w:t>
            </w:r>
          </w:p>
        </w:tc>
      </w:tr>
      <w:tr w:rsidR="002A7719" w:rsidRPr="009A7237" w:rsidTr="001C5E76">
        <w:tc>
          <w:tcPr>
            <w:tcW w:w="2276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April 2024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Rs.1,08,000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Rs.2,43,000</w:t>
            </w:r>
          </w:p>
        </w:tc>
        <w:tc>
          <w:tcPr>
            <w:tcW w:w="2272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Rs.11,000</w:t>
            </w:r>
          </w:p>
        </w:tc>
      </w:tr>
      <w:tr w:rsidR="002A7719" w:rsidRPr="009A7237" w:rsidTr="001C5E76">
        <w:tc>
          <w:tcPr>
            <w:tcW w:w="2276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May 2024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Rs.1,74,000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Rs.2,46,000</w:t>
            </w:r>
          </w:p>
        </w:tc>
        <w:tc>
          <w:tcPr>
            <w:tcW w:w="2272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Rs.10,000</w:t>
            </w:r>
          </w:p>
        </w:tc>
      </w:tr>
      <w:tr w:rsidR="002A7719" w:rsidRPr="009A7237" w:rsidTr="001C5E76">
        <w:tc>
          <w:tcPr>
            <w:tcW w:w="2276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June 2024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Rs.1,26,000</w:t>
            </w:r>
          </w:p>
        </w:tc>
        <w:tc>
          <w:tcPr>
            <w:tcW w:w="2289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Rs.2,68,000</w:t>
            </w:r>
          </w:p>
        </w:tc>
        <w:tc>
          <w:tcPr>
            <w:tcW w:w="2272" w:type="dxa"/>
          </w:tcPr>
          <w:p w:rsidR="002A7719" w:rsidRPr="009A7237" w:rsidRDefault="002A7719" w:rsidP="001C5E7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Rs.15,000</w:t>
            </w:r>
          </w:p>
        </w:tc>
      </w:tr>
    </w:tbl>
    <w:p w:rsidR="002A7719" w:rsidRPr="009A7237" w:rsidRDefault="002A7719" w:rsidP="002A7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A7719" w:rsidRPr="009A7237" w:rsidRDefault="002A7719" w:rsidP="002A7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9A7237">
        <w:rPr>
          <w:rFonts w:ascii="Arial" w:hAnsi="Arial" w:cs="Arial"/>
          <w:b/>
          <w:bCs/>
          <w:i/>
          <w:iCs/>
          <w:sz w:val="24"/>
          <w:szCs w:val="24"/>
        </w:rPr>
        <w:t>Additional Information:</w:t>
      </w:r>
    </w:p>
    <w:p w:rsidR="002A7719" w:rsidRPr="009A7237" w:rsidRDefault="002A7719" w:rsidP="002A771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9A7237">
        <w:rPr>
          <w:rFonts w:ascii="Arial" w:hAnsi="Arial" w:cs="Arial"/>
        </w:rPr>
        <w:t>50% of the credit sales are realized in the month following the sales and remaining 50% in the second month following. Creditors are paid in the month following the month of purchases. There are no cash sales or cash purchases</w:t>
      </w:r>
    </w:p>
    <w:p w:rsidR="002A7719" w:rsidRPr="009A7237" w:rsidRDefault="002A7719" w:rsidP="002A771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9A7237">
        <w:rPr>
          <w:rFonts w:ascii="Arial" w:hAnsi="Arial" w:cs="Arial"/>
        </w:rPr>
        <w:t>Cash at bank [overdraft] estimated on 1st April 2024 is Rs.25, 000.</w:t>
      </w:r>
    </w:p>
    <w:p w:rsidR="002A7719" w:rsidRPr="009A7237" w:rsidRDefault="002A7719" w:rsidP="002A7719">
      <w:pPr>
        <w:pStyle w:val="ListParagraph"/>
        <w:rPr>
          <w:rFonts w:ascii="Arial" w:hAnsi="Arial" w:cs="Arial"/>
          <w:color w:val="FF0000"/>
        </w:rPr>
      </w:pPr>
    </w:p>
    <w:p w:rsidR="002A7719" w:rsidRPr="009A7237" w:rsidRDefault="002A7719" w:rsidP="002A7719">
      <w:pPr>
        <w:pStyle w:val="ListParagraph"/>
        <w:rPr>
          <w:rFonts w:ascii="Arial" w:hAnsi="Arial" w:cs="Arial"/>
          <w:color w:val="FF0000"/>
        </w:rPr>
      </w:pPr>
    </w:p>
    <w:p w:rsidR="002A7719" w:rsidRPr="009A7237" w:rsidRDefault="002A7719" w:rsidP="002A7719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404D1B" w:rsidRPr="009A7237" w:rsidRDefault="00404D1B" w:rsidP="009A7237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A7237">
        <w:rPr>
          <w:rFonts w:ascii="Arial" w:hAnsi="Arial" w:cs="Arial"/>
          <w:b/>
        </w:rPr>
        <w:t>Section C</w:t>
      </w:r>
    </w:p>
    <w:p w:rsidR="00404D1B" w:rsidRPr="009A7237" w:rsidRDefault="009A7237" w:rsidP="00404D1B">
      <w:pPr>
        <w:tabs>
          <w:tab w:val="center" w:pos="4680"/>
          <w:tab w:val="left" w:pos="6643"/>
        </w:tabs>
        <w:jc w:val="center"/>
        <w:rPr>
          <w:rFonts w:ascii="Arial" w:hAnsi="Arial" w:cs="Arial"/>
          <w:b/>
          <w:sz w:val="24"/>
          <w:szCs w:val="24"/>
        </w:rPr>
      </w:pPr>
      <w:r w:rsidRPr="009A7237">
        <w:rPr>
          <w:rFonts w:ascii="Arial" w:hAnsi="Arial" w:cs="Arial"/>
          <w:b/>
          <w:sz w:val="24"/>
          <w:szCs w:val="24"/>
        </w:rPr>
        <w:t>Answer the following question</w:t>
      </w:r>
      <w:r w:rsidR="00404D1B" w:rsidRPr="009A7237">
        <w:rPr>
          <w:rFonts w:ascii="Arial" w:hAnsi="Arial" w:cs="Arial"/>
          <w:b/>
          <w:sz w:val="24"/>
          <w:szCs w:val="24"/>
        </w:rPr>
        <w:t xml:space="preserve">. </w:t>
      </w:r>
      <w:r w:rsidR="00404D1B" w:rsidRPr="009A7237">
        <w:rPr>
          <w:rFonts w:ascii="Arial" w:hAnsi="Arial" w:cs="Arial"/>
          <w:b/>
          <w:sz w:val="24"/>
          <w:szCs w:val="24"/>
        </w:rPr>
        <w:tab/>
      </w:r>
      <w:r w:rsidR="00404D1B" w:rsidRPr="009A7237">
        <w:rPr>
          <w:rFonts w:ascii="Arial" w:hAnsi="Arial" w:cs="Arial"/>
          <w:b/>
          <w:sz w:val="24"/>
          <w:szCs w:val="24"/>
        </w:rPr>
        <w:tab/>
        <w:t>(1 x 10 marks = 10)</w:t>
      </w:r>
    </w:p>
    <w:p w:rsidR="00360B5C" w:rsidRPr="009A7237" w:rsidRDefault="00360B5C" w:rsidP="00360B5C">
      <w:pPr>
        <w:pStyle w:val="Normal1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7237">
        <w:rPr>
          <w:rFonts w:ascii="Arial" w:hAnsi="Arial" w:cs="Arial"/>
          <w:sz w:val="24"/>
          <w:szCs w:val="24"/>
        </w:rPr>
        <w:t>MNO company manufactures three products M,N &amp; O, the details of which are shown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8"/>
        <w:gridCol w:w="1417"/>
        <w:gridCol w:w="1332"/>
        <w:gridCol w:w="1263"/>
      </w:tblGrid>
      <w:tr w:rsidR="00360B5C" w:rsidRPr="009A7237" w:rsidTr="001C5E76">
        <w:tc>
          <w:tcPr>
            <w:tcW w:w="478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Particulars</w:t>
            </w:r>
          </w:p>
        </w:tc>
        <w:tc>
          <w:tcPr>
            <w:tcW w:w="144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M</w:t>
            </w:r>
          </w:p>
        </w:tc>
        <w:tc>
          <w:tcPr>
            <w:tcW w:w="135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N</w:t>
            </w:r>
          </w:p>
        </w:tc>
        <w:tc>
          <w:tcPr>
            <w:tcW w:w="127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O</w:t>
            </w:r>
          </w:p>
        </w:tc>
      </w:tr>
      <w:tr w:rsidR="00360B5C" w:rsidRPr="009A7237" w:rsidTr="001C5E76">
        <w:tc>
          <w:tcPr>
            <w:tcW w:w="478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Selling price per unit</w:t>
            </w:r>
          </w:p>
        </w:tc>
        <w:tc>
          <w:tcPr>
            <w:tcW w:w="144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Rs.360</w:t>
            </w:r>
          </w:p>
        </w:tc>
        <w:tc>
          <w:tcPr>
            <w:tcW w:w="135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Rs.330</w:t>
            </w:r>
          </w:p>
        </w:tc>
        <w:tc>
          <w:tcPr>
            <w:tcW w:w="127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Rs.390</w:t>
            </w:r>
          </w:p>
        </w:tc>
      </w:tr>
      <w:tr w:rsidR="00360B5C" w:rsidRPr="009A7237" w:rsidTr="001C5E76">
        <w:tc>
          <w:tcPr>
            <w:tcW w:w="478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Direct material cost per unit</w:t>
            </w:r>
          </w:p>
        </w:tc>
        <w:tc>
          <w:tcPr>
            <w:tcW w:w="144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Rs.180</w:t>
            </w:r>
          </w:p>
        </w:tc>
        <w:tc>
          <w:tcPr>
            <w:tcW w:w="135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Rs.210</w:t>
            </w:r>
          </w:p>
        </w:tc>
        <w:tc>
          <w:tcPr>
            <w:tcW w:w="127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Rs.255</w:t>
            </w:r>
          </w:p>
        </w:tc>
      </w:tr>
      <w:tr w:rsidR="00360B5C" w:rsidRPr="009A7237" w:rsidTr="001C5E76">
        <w:tc>
          <w:tcPr>
            <w:tcW w:w="478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Variable Overhead</w:t>
            </w:r>
          </w:p>
        </w:tc>
        <w:tc>
          <w:tcPr>
            <w:tcW w:w="144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Rs.90</w:t>
            </w:r>
          </w:p>
        </w:tc>
        <w:tc>
          <w:tcPr>
            <w:tcW w:w="135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Rs.60</w:t>
            </w:r>
          </w:p>
        </w:tc>
        <w:tc>
          <w:tcPr>
            <w:tcW w:w="127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Rs.45</w:t>
            </w:r>
          </w:p>
        </w:tc>
      </w:tr>
      <w:tr w:rsidR="00360B5C" w:rsidRPr="009A7237" w:rsidTr="001C5E76">
        <w:tc>
          <w:tcPr>
            <w:tcW w:w="478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Maximum demand ( units)</w:t>
            </w:r>
          </w:p>
        </w:tc>
        <w:tc>
          <w:tcPr>
            <w:tcW w:w="144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30000</w:t>
            </w:r>
          </w:p>
        </w:tc>
        <w:tc>
          <w:tcPr>
            <w:tcW w:w="135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25000</w:t>
            </w:r>
          </w:p>
        </w:tc>
        <w:tc>
          <w:tcPr>
            <w:tcW w:w="127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40000</w:t>
            </w:r>
          </w:p>
        </w:tc>
      </w:tr>
      <w:tr w:rsidR="00360B5C" w:rsidRPr="009A7237" w:rsidTr="001C5E76">
        <w:tc>
          <w:tcPr>
            <w:tcW w:w="478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Time required on the bottleneck resource (hours per unit)</w:t>
            </w:r>
          </w:p>
        </w:tc>
        <w:tc>
          <w:tcPr>
            <w:tcW w:w="144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8</w:t>
            </w:r>
          </w:p>
        </w:tc>
        <w:tc>
          <w:tcPr>
            <w:tcW w:w="1278" w:type="dxa"/>
          </w:tcPr>
          <w:p w:rsidR="00360B5C" w:rsidRPr="009A7237" w:rsidRDefault="00360B5C" w:rsidP="001C5E7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A7237">
              <w:rPr>
                <w:rFonts w:ascii="Arial" w:hAnsi="Arial" w:cs="Arial"/>
              </w:rPr>
              <w:t>6</w:t>
            </w:r>
          </w:p>
        </w:tc>
      </w:tr>
    </w:tbl>
    <w:p w:rsidR="00360B5C" w:rsidRPr="009A7237" w:rsidRDefault="00360B5C" w:rsidP="00360B5C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 w:rsidRPr="009A7237">
        <w:rPr>
          <w:rFonts w:ascii="Arial" w:hAnsi="Arial" w:cs="Arial"/>
        </w:rPr>
        <w:t>There are 6, 40,000 bottleneck hours available each month.</w:t>
      </w:r>
    </w:p>
    <w:p w:rsidR="00360B5C" w:rsidRPr="009A7237" w:rsidRDefault="00360B5C" w:rsidP="00360B5C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 w:rsidRPr="009A7237">
        <w:rPr>
          <w:rFonts w:ascii="Arial" w:hAnsi="Arial" w:cs="Arial"/>
        </w:rPr>
        <w:t xml:space="preserve">Calculate the optimum product mix based on </w:t>
      </w:r>
      <w:r w:rsidR="00B42E2A">
        <w:rPr>
          <w:rFonts w:ascii="Arial" w:hAnsi="Arial" w:cs="Arial"/>
        </w:rPr>
        <w:t>the throughput concept.</w:t>
      </w:r>
    </w:p>
    <w:p w:rsidR="00360B5C" w:rsidRPr="009A7237" w:rsidRDefault="00360B5C" w:rsidP="00360B5C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360B5C" w:rsidRPr="009A7237" w:rsidRDefault="00360B5C" w:rsidP="00360B5C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</w:rPr>
      </w:pPr>
      <w:bookmarkStart w:id="0" w:name="_GoBack"/>
      <w:bookmarkEnd w:id="0"/>
    </w:p>
    <w:sectPr w:rsidR="00360B5C" w:rsidRPr="009A723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C8" w:rsidRDefault="00A473C8">
      <w:pPr>
        <w:spacing w:after="0" w:line="240" w:lineRule="auto"/>
      </w:pPr>
      <w:r>
        <w:separator/>
      </w:r>
    </w:p>
  </w:endnote>
  <w:endnote w:type="continuationSeparator" w:id="0">
    <w:p w:rsidR="00A473C8" w:rsidRDefault="00A4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D02" w:rsidRDefault="00CB0D02">
    <w:pPr>
      <w:jc w:val="right"/>
    </w:pPr>
  </w:p>
  <w:p w:rsidR="00CB0D02" w:rsidRDefault="00CB0D0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C8" w:rsidRDefault="00A473C8">
      <w:pPr>
        <w:spacing w:after="0" w:line="240" w:lineRule="auto"/>
      </w:pPr>
      <w:r>
        <w:separator/>
      </w:r>
    </w:p>
  </w:footnote>
  <w:footnote w:type="continuationSeparator" w:id="0">
    <w:p w:rsidR="00A473C8" w:rsidRDefault="00A4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CAD"/>
    <w:multiLevelType w:val="hybridMultilevel"/>
    <w:tmpl w:val="35E04704"/>
    <w:lvl w:ilvl="0" w:tplc="C5AE513C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4D5"/>
    <w:multiLevelType w:val="hybridMultilevel"/>
    <w:tmpl w:val="1004D7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D04C04"/>
    <w:multiLevelType w:val="multilevel"/>
    <w:tmpl w:val="AE2450EE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883AF3"/>
    <w:multiLevelType w:val="hybridMultilevel"/>
    <w:tmpl w:val="750E38B0"/>
    <w:lvl w:ilvl="0" w:tplc="010EC18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C44AE"/>
    <w:multiLevelType w:val="hybridMultilevel"/>
    <w:tmpl w:val="370054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D714F"/>
    <w:multiLevelType w:val="hybridMultilevel"/>
    <w:tmpl w:val="0FDCD2D8"/>
    <w:lvl w:ilvl="0" w:tplc="CA74524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093D"/>
    <w:multiLevelType w:val="hybridMultilevel"/>
    <w:tmpl w:val="27544CDE"/>
    <w:lvl w:ilvl="0" w:tplc="7744F2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D0E79"/>
    <w:multiLevelType w:val="multilevel"/>
    <w:tmpl w:val="C62C0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6668A1"/>
    <w:multiLevelType w:val="hybridMultilevel"/>
    <w:tmpl w:val="0BCA81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C1CE1"/>
    <w:multiLevelType w:val="hybridMultilevel"/>
    <w:tmpl w:val="579457E6"/>
    <w:lvl w:ilvl="0" w:tplc="04090017">
      <w:start w:val="1"/>
      <w:numFmt w:val="lowerLetter"/>
      <w:lvlText w:val="%1)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7BFF41B2"/>
    <w:multiLevelType w:val="hybridMultilevel"/>
    <w:tmpl w:val="2F44D1AC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02"/>
    <w:rsid w:val="0013195A"/>
    <w:rsid w:val="00202F78"/>
    <w:rsid w:val="00282C78"/>
    <w:rsid w:val="002A7719"/>
    <w:rsid w:val="00360B5C"/>
    <w:rsid w:val="00404D1B"/>
    <w:rsid w:val="0045666B"/>
    <w:rsid w:val="005001A3"/>
    <w:rsid w:val="005C513F"/>
    <w:rsid w:val="005D679C"/>
    <w:rsid w:val="006942FD"/>
    <w:rsid w:val="006D304C"/>
    <w:rsid w:val="006F6C00"/>
    <w:rsid w:val="0075207A"/>
    <w:rsid w:val="00786093"/>
    <w:rsid w:val="007905FA"/>
    <w:rsid w:val="007D6AB8"/>
    <w:rsid w:val="009916C3"/>
    <w:rsid w:val="009A7237"/>
    <w:rsid w:val="00A473C8"/>
    <w:rsid w:val="00AB2791"/>
    <w:rsid w:val="00B42E2A"/>
    <w:rsid w:val="00B517C5"/>
    <w:rsid w:val="00C815BE"/>
    <w:rsid w:val="00CB0D02"/>
    <w:rsid w:val="00CC0B34"/>
    <w:rsid w:val="00D94201"/>
    <w:rsid w:val="00E31524"/>
    <w:rsid w:val="00E4598C"/>
    <w:rsid w:val="00E7009D"/>
    <w:rsid w:val="00EA6EC3"/>
    <w:rsid w:val="00F0304B"/>
    <w:rsid w:val="00F86ACA"/>
    <w:rsid w:val="00F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E40BB-43A8-4EA8-9207-D022ACC8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6EC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5C513F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F0304B"/>
  </w:style>
  <w:style w:type="paragraph" w:styleId="Header">
    <w:name w:val="header"/>
    <w:basedOn w:val="Normal"/>
    <w:link w:val="HeaderChar"/>
    <w:uiPriority w:val="99"/>
    <w:unhideWhenUsed/>
    <w:rsid w:val="00F0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4B"/>
  </w:style>
  <w:style w:type="character" w:styleId="Strong">
    <w:name w:val="Strong"/>
    <w:basedOn w:val="DefaultParagraphFont"/>
    <w:uiPriority w:val="22"/>
    <w:qFormat/>
    <w:rsid w:val="00AB2791"/>
    <w:rPr>
      <w:b/>
      <w:bCs/>
    </w:rPr>
  </w:style>
  <w:style w:type="character" w:styleId="Emphasis">
    <w:name w:val="Emphasis"/>
    <w:basedOn w:val="DefaultParagraphFont"/>
    <w:uiPriority w:val="20"/>
    <w:qFormat/>
    <w:rsid w:val="00AB2791"/>
    <w:rPr>
      <w:i/>
      <w:iCs/>
    </w:rPr>
  </w:style>
  <w:style w:type="paragraph" w:customStyle="1" w:styleId="para">
    <w:name w:val="para"/>
    <w:basedOn w:val="Normal"/>
    <w:rsid w:val="00AB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ginterm">
    <w:name w:val="margin_term"/>
    <w:basedOn w:val="DefaultParagraphFont"/>
    <w:rsid w:val="00AB2791"/>
  </w:style>
  <w:style w:type="paragraph" w:styleId="Footer">
    <w:name w:val="footer"/>
    <w:basedOn w:val="Normal"/>
    <w:link w:val="FooterChar"/>
    <w:uiPriority w:val="99"/>
    <w:unhideWhenUsed/>
    <w:rsid w:val="0050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25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086745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03690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467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49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75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960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768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22</cp:revision>
  <dcterms:created xsi:type="dcterms:W3CDTF">2023-03-06T05:00:00Z</dcterms:created>
  <dcterms:modified xsi:type="dcterms:W3CDTF">2024-03-05T09:59:00Z</dcterms:modified>
</cp:coreProperties>
</file>