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9ABE" w14:textId="77777777" w:rsidR="00403CDD" w:rsidRDefault="00930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56A8FD01" wp14:editId="2BFF04A1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61523A" wp14:editId="3D9C6EA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4FC504" w14:textId="27C5B18F" w:rsidR="00403CDD" w:rsidRDefault="0055284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930B3D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45DD2E" w14:textId="77777777" w:rsidR="00403CDD" w:rsidRDefault="00930B3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1523A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4FC504" w14:textId="27C5B18F" w:rsidR="00403CDD" w:rsidRDefault="0055284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930B3D">
                        <w:rPr>
                          <w:color w:val="000000"/>
                        </w:rPr>
                        <w:t>:</w:t>
                      </w:r>
                    </w:p>
                    <w:p w14:paraId="5345DD2E" w14:textId="77777777" w:rsidR="00403CDD" w:rsidRDefault="00930B3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4F13E7" wp14:editId="35BB671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A5FD6" w14:textId="493EE45E" w:rsidR="00403CDD" w:rsidRDefault="0055284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930B3D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E1B5F38" w14:textId="77777777" w:rsidR="00403CDD" w:rsidRDefault="00930B3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F13E7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85A5FD6" w14:textId="493EE45E" w:rsidR="00403CDD" w:rsidRDefault="0055284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930B3D">
                        <w:rPr>
                          <w:color w:val="000000"/>
                        </w:rPr>
                        <w:t>:</w:t>
                      </w:r>
                    </w:p>
                    <w:p w14:paraId="7E1B5F38" w14:textId="77777777" w:rsidR="00403CDD" w:rsidRDefault="00930B3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3774192" w14:textId="77777777" w:rsidR="00403CDD" w:rsidRPr="00DC7091" w:rsidRDefault="00403CD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1B29A7" w14:textId="77E5BA8F" w:rsidR="00403CDD" w:rsidRPr="00DC7091" w:rsidRDefault="0055284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C7091">
        <w:rPr>
          <w:rFonts w:ascii="Arial" w:eastAsia="Arial" w:hAnsi="Arial" w:cs="Arial"/>
          <w:b/>
          <w:sz w:val="24"/>
          <w:szCs w:val="24"/>
        </w:rPr>
        <w:t>ST. JOSEPH’S</w:t>
      </w:r>
      <w:r w:rsidR="00930B3D" w:rsidRPr="00DC7091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5A199434" w14:textId="4D8A6B55" w:rsidR="00403CDD" w:rsidRPr="00DC7091" w:rsidRDefault="00FA3F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C7091">
        <w:rPr>
          <w:rFonts w:ascii="Arial" w:eastAsia="Arial" w:hAnsi="Arial" w:cs="Arial"/>
          <w:b/>
          <w:sz w:val="24"/>
          <w:szCs w:val="24"/>
        </w:rPr>
        <w:t xml:space="preserve">B.COM  </w:t>
      </w:r>
      <w:r w:rsidR="00930B3D" w:rsidRPr="00DC7091">
        <w:rPr>
          <w:rFonts w:ascii="Arial" w:eastAsia="Arial" w:hAnsi="Arial" w:cs="Arial"/>
          <w:b/>
          <w:sz w:val="24"/>
          <w:szCs w:val="24"/>
        </w:rPr>
        <w:t xml:space="preserve"> – I</w:t>
      </w:r>
      <w:r w:rsidR="00DC7091" w:rsidRPr="00DC7091">
        <w:rPr>
          <w:rFonts w:ascii="Arial" w:eastAsia="Arial" w:hAnsi="Arial" w:cs="Arial"/>
          <w:b/>
          <w:sz w:val="24"/>
          <w:szCs w:val="24"/>
        </w:rPr>
        <w:t>V</w:t>
      </w:r>
      <w:r w:rsidR="00930B3D" w:rsidRPr="00DC7091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2DCCE034" w14:textId="5D2C2F8F" w:rsidR="00DC7091" w:rsidRPr="00DC7091" w:rsidRDefault="00DC7091" w:rsidP="00DC70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US"/>
        </w:rPr>
      </w:pPr>
      <w:r w:rsidRPr="00DC7091">
        <w:rPr>
          <w:rFonts w:ascii="Arial" w:eastAsia="Arial" w:hAnsi="Arial" w:cs="Arial"/>
          <w:b/>
          <w:sz w:val="24"/>
          <w:szCs w:val="24"/>
        </w:rPr>
        <w:t xml:space="preserve">                                    </w:t>
      </w:r>
      <w:r w:rsidRPr="00DC7091">
        <w:rPr>
          <w:rFonts w:ascii="Arial" w:eastAsia="Times New Roman" w:hAnsi="Arial" w:cs="Arial"/>
          <w:b/>
          <w:sz w:val="24"/>
          <w:szCs w:val="24"/>
          <w:lang w:val="en-GB" w:eastAsia="en-US"/>
        </w:rPr>
        <w:t>SEMESTER EXAMINATION: APRIL 2024</w:t>
      </w:r>
    </w:p>
    <w:p w14:paraId="1694F189" w14:textId="71724319" w:rsidR="00DC7091" w:rsidRPr="00DC7091" w:rsidRDefault="00DC7091" w:rsidP="00DC70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US"/>
        </w:rPr>
      </w:pPr>
      <w:r w:rsidRPr="00DC7091">
        <w:rPr>
          <w:rFonts w:ascii="Arial" w:eastAsia="Times New Roman" w:hAnsi="Arial" w:cs="Arial"/>
          <w:b/>
          <w:sz w:val="24"/>
          <w:szCs w:val="24"/>
          <w:lang w:val="en-GB" w:eastAsia="en-US"/>
        </w:rPr>
        <w:t xml:space="preserve">                                   (Examination conducted in May / June 2024)</w:t>
      </w:r>
    </w:p>
    <w:p w14:paraId="64A66C1C" w14:textId="77777777" w:rsidR="00DC7091" w:rsidRPr="00DC7091" w:rsidRDefault="00DC7091" w:rsidP="00FA3F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US"/>
        </w:rPr>
      </w:pPr>
    </w:p>
    <w:p w14:paraId="22FB81B9" w14:textId="5C28389A" w:rsidR="00403CDD" w:rsidRPr="0055284B" w:rsidRDefault="00DC7091" w:rsidP="00FA3FE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en-US"/>
        </w:rPr>
      </w:pPr>
      <w:r w:rsidRPr="00DC7091">
        <w:rPr>
          <w:rFonts w:ascii="Arial" w:eastAsia="Times New Roman" w:hAnsi="Arial" w:cs="Arial"/>
          <w:b/>
          <w:sz w:val="24"/>
          <w:szCs w:val="24"/>
          <w:lang w:val="en-GB" w:eastAsia="en-US"/>
        </w:rPr>
        <w:t xml:space="preserve">                                </w:t>
      </w:r>
      <w:r w:rsidR="00FA3FE6" w:rsidRPr="00DC7091">
        <w:rPr>
          <w:rFonts w:ascii="Arial" w:eastAsia="Times New Roman" w:hAnsi="Arial" w:cs="Arial"/>
          <w:b/>
          <w:sz w:val="24"/>
          <w:szCs w:val="24"/>
          <w:lang w:val="en-GB" w:eastAsia="en-US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val="en-GB" w:eastAsia="en-US"/>
        </w:rPr>
        <w:t xml:space="preserve">            </w:t>
      </w:r>
      <w:r w:rsidR="00FA3FE6" w:rsidRPr="00DC7091">
        <w:rPr>
          <w:rFonts w:ascii="Arial" w:eastAsia="Times New Roman" w:hAnsi="Arial" w:cs="Arial"/>
          <w:b/>
          <w:sz w:val="24"/>
          <w:szCs w:val="24"/>
          <w:lang w:val="en-GB" w:eastAsia="en-US"/>
        </w:rPr>
        <w:t>BC</w:t>
      </w:r>
      <w:r>
        <w:rPr>
          <w:rFonts w:ascii="Arial" w:eastAsia="Times New Roman" w:hAnsi="Arial" w:cs="Arial"/>
          <w:b/>
          <w:sz w:val="24"/>
          <w:szCs w:val="24"/>
          <w:lang w:val="en-GB" w:eastAsia="en-US"/>
        </w:rPr>
        <w:t>-4222: Corporate Finance</w:t>
      </w:r>
    </w:p>
    <w:p w14:paraId="54538744" w14:textId="77777777" w:rsidR="00DC7091" w:rsidRPr="00DC7091" w:rsidRDefault="00DC7091" w:rsidP="00FA3F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US"/>
        </w:rPr>
      </w:pPr>
    </w:p>
    <w:p w14:paraId="25AC4B09" w14:textId="77777777" w:rsidR="00403CDD" w:rsidRPr="00DC7091" w:rsidRDefault="00930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C7091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DC74DEB" w14:textId="77777777" w:rsidR="00403CDD" w:rsidRPr="00DC7091" w:rsidRDefault="00403CD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050C4F" w14:textId="77777777" w:rsidR="00403CDD" w:rsidRPr="00DC7091" w:rsidRDefault="00403CD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B607AB" w14:textId="77777777" w:rsidR="00403CDD" w:rsidRPr="00DC7091" w:rsidRDefault="00930B3D">
      <w:pPr>
        <w:spacing w:after="0" w:line="259" w:lineRule="auto"/>
        <w:rPr>
          <w:rFonts w:ascii="Arial" w:eastAsia="Arial" w:hAnsi="Arial" w:cs="Arial"/>
          <w:b/>
        </w:rPr>
      </w:pPr>
      <w:r w:rsidRPr="00DC7091">
        <w:rPr>
          <w:rFonts w:ascii="Arial" w:eastAsia="Arial" w:hAnsi="Arial" w:cs="Arial"/>
          <w:b/>
        </w:rPr>
        <w:t>Time: 2 Hours</w:t>
      </w:r>
      <w:r w:rsidRPr="00DC7091">
        <w:rPr>
          <w:rFonts w:ascii="Arial" w:eastAsia="Arial" w:hAnsi="Arial" w:cs="Arial"/>
          <w:b/>
        </w:rPr>
        <w:tab/>
      </w:r>
      <w:r w:rsidRPr="00DC7091">
        <w:rPr>
          <w:rFonts w:ascii="Arial" w:eastAsia="Arial" w:hAnsi="Arial" w:cs="Arial"/>
          <w:b/>
        </w:rPr>
        <w:tab/>
      </w:r>
      <w:r w:rsidRPr="00DC7091">
        <w:rPr>
          <w:rFonts w:ascii="Arial" w:eastAsia="Arial" w:hAnsi="Arial" w:cs="Arial"/>
          <w:b/>
        </w:rPr>
        <w:tab/>
      </w:r>
      <w:r w:rsidRPr="00DC7091">
        <w:rPr>
          <w:rFonts w:ascii="Arial" w:eastAsia="Arial" w:hAnsi="Arial" w:cs="Arial"/>
          <w:b/>
        </w:rPr>
        <w:tab/>
      </w:r>
      <w:r w:rsidRPr="00DC7091">
        <w:rPr>
          <w:rFonts w:ascii="Arial" w:eastAsia="Arial" w:hAnsi="Arial" w:cs="Arial"/>
          <w:b/>
        </w:rPr>
        <w:tab/>
      </w:r>
      <w:r w:rsidRPr="00DC7091">
        <w:rPr>
          <w:rFonts w:ascii="Arial" w:eastAsia="Arial" w:hAnsi="Arial" w:cs="Arial"/>
          <w:b/>
        </w:rPr>
        <w:tab/>
      </w:r>
      <w:r w:rsidRPr="00DC7091">
        <w:rPr>
          <w:rFonts w:ascii="Arial" w:eastAsia="Arial" w:hAnsi="Arial" w:cs="Arial"/>
          <w:b/>
        </w:rPr>
        <w:tab/>
      </w:r>
      <w:r w:rsidRPr="00DC7091">
        <w:rPr>
          <w:rFonts w:ascii="Arial" w:eastAsia="Arial" w:hAnsi="Arial" w:cs="Arial"/>
          <w:b/>
        </w:rPr>
        <w:tab/>
        <w:t xml:space="preserve">    Max Marks: 60</w:t>
      </w:r>
    </w:p>
    <w:p w14:paraId="20510437" w14:textId="77777777" w:rsidR="00403CDD" w:rsidRPr="00DC7091" w:rsidRDefault="00FA3FE6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DC7091">
        <w:rPr>
          <w:rFonts w:ascii="Arial" w:eastAsia="Arial" w:hAnsi="Arial" w:cs="Arial"/>
          <w:b/>
        </w:rPr>
        <w:t>This paper contains TWO printed pages and FOUR</w:t>
      </w:r>
      <w:r w:rsidR="00930B3D" w:rsidRPr="00DC7091">
        <w:rPr>
          <w:rFonts w:ascii="Arial" w:eastAsia="Arial" w:hAnsi="Arial" w:cs="Arial"/>
          <w:b/>
        </w:rPr>
        <w:t xml:space="preserve"> parts</w:t>
      </w:r>
    </w:p>
    <w:p w14:paraId="5F1B6455" w14:textId="77777777" w:rsidR="00766973" w:rsidRDefault="00766973" w:rsidP="00766973">
      <w:pPr>
        <w:tabs>
          <w:tab w:val="left" w:pos="1073"/>
        </w:tabs>
        <w:spacing w:after="0" w:line="259" w:lineRule="auto"/>
        <w:rPr>
          <w:rFonts w:ascii="Arial" w:eastAsia="Arial" w:hAnsi="Arial" w:cs="Arial"/>
          <w:b/>
        </w:rPr>
      </w:pPr>
    </w:p>
    <w:p w14:paraId="38E4ED1E" w14:textId="77777777" w:rsidR="00766973" w:rsidRPr="00733F81" w:rsidRDefault="00766973" w:rsidP="00766973">
      <w:pPr>
        <w:spacing w:after="0"/>
        <w:ind w:left="720"/>
        <w:jc w:val="both"/>
        <w:rPr>
          <w:rFonts w:ascii="Arial" w:eastAsia="Arial" w:hAnsi="Arial" w:cs="Arial"/>
        </w:rPr>
      </w:pPr>
    </w:p>
    <w:p w14:paraId="41696261" w14:textId="77777777" w:rsidR="00766973" w:rsidRPr="00220D0F" w:rsidRDefault="00766973" w:rsidP="0076697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</w:t>
      </w:r>
      <w:r w:rsidRPr="00220D0F">
        <w:rPr>
          <w:rFonts w:ascii="Arial" w:hAnsi="Arial" w:cs="Arial"/>
          <w:b/>
          <w:bCs/>
          <w:sz w:val="22"/>
          <w:szCs w:val="22"/>
        </w:rPr>
        <w:t>-A</w:t>
      </w:r>
    </w:p>
    <w:p w14:paraId="02EFEBD9" w14:textId="77777777" w:rsidR="00766973" w:rsidRPr="00220D0F" w:rsidRDefault="00766973" w:rsidP="0076697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3797AF" w14:textId="77777777" w:rsidR="00766973" w:rsidRPr="00342608" w:rsidRDefault="00766973" w:rsidP="00873A8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679C4">
        <w:rPr>
          <w:rFonts w:ascii="Arial" w:hAnsi="Arial" w:cs="Arial"/>
          <w:sz w:val="22"/>
          <w:szCs w:val="22"/>
        </w:rPr>
        <w:t xml:space="preserve">Answer any </w:t>
      </w:r>
      <w:r w:rsidRPr="009679C4">
        <w:rPr>
          <w:rFonts w:ascii="Arial" w:hAnsi="Arial" w:cs="Arial"/>
          <w:b/>
          <w:bCs/>
          <w:sz w:val="22"/>
          <w:szCs w:val="22"/>
        </w:rPr>
        <w:t xml:space="preserve">FIVE </w:t>
      </w:r>
      <w:r w:rsidRPr="009679C4">
        <w:rPr>
          <w:rFonts w:ascii="Arial" w:hAnsi="Arial" w:cs="Arial"/>
          <w:sz w:val="22"/>
          <w:szCs w:val="22"/>
        </w:rPr>
        <w:t xml:space="preserve">questions. Each question carries 3 marks. </w:t>
      </w:r>
      <w:r w:rsidR="00873A85">
        <w:rPr>
          <w:rFonts w:ascii="Arial" w:hAnsi="Arial" w:cs="Arial"/>
          <w:sz w:val="22"/>
          <w:szCs w:val="22"/>
        </w:rPr>
        <w:tab/>
      </w:r>
      <w:r w:rsidR="00873A85">
        <w:rPr>
          <w:rFonts w:ascii="Arial" w:hAnsi="Arial" w:cs="Arial"/>
          <w:sz w:val="22"/>
          <w:szCs w:val="22"/>
        </w:rPr>
        <w:tab/>
      </w:r>
      <w:r w:rsidR="00873A85" w:rsidRPr="00342608">
        <w:rPr>
          <w:rFonts w:ascii="Arial" w:hAnsi="Arial" w:cs="Arial"/>
          <w:b/>
          <w:bCs/>
          <w:sz w:val="22"/>
          <w:szCs w:val="22"/>
        </w:rPr>
        <w:tab/>
      </w:r>
      <w:r w:rsidRPr="00342608">
        <w:rPr>
          <w:rFonts w:ascii="Arial" w:hAnsi="Arial" w:cs="Arial"/>
          <w:b/>
          <w:bCs/>
          <w:sz w:val="22"/>
          <w:szCs w:val="22"/>
        </w:rPr>
        <w:t>(</w:t>
      </w:r>
      <w:r w:rsidR="005C2CD6" w:rsidRPr="00342608">
        <w:rPr>
          <w:rFonts w:ascii="Arial" w:hAnsi="Arial" w:cs="Arial"/>
          <w:b/>
          <w:bCs/>
          <w:sz w:val="22"/>
          <w:szCs w:val="22"/>
        </w:rPr>
        <w:t>5</w:t>
      </w:r>
      <w:r w:rsidRPr="00342608">
        <w:rPr>
          <w:rFonts w:ascii="Arial" w:hAnsi="Arial" w:cs="Arial"/>
          <w:b/>
          <w:bCs/>
          <w:sz w:val="22"/>
          <w:szCs w:val="22"/>
        </w:rPr>
        <w:t xml:space="preserve"> x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="005C2CD6" w:rsidRPr="00342608">
        <w:rPr>
          <w:rFonts w:ascii="Arial" w:hAnsi="Arial" w:cs="Arial"/>
          <w:b/>
          <w:bCs/>
          <w:sz w:val="22"/>
          <w:szCs w:val="22"/>
        </w:rPr>
        <w:t>3</w:t>
      </w:r>
      <w:r w:rsidRPr="00342608">
        <w:rPr>
          <w:rFonts w:ascii="Arial" w:hAnsi="Arial" w:cs="Arial"/>
          <w:b/>
          <w:bCs/>
          <w:sz w:val="22"/>
          <w:szCs w:val="22"/>
        </w:rPr>
        <w:t xml:space="preserve"> = 15) </w:t>
      </w:r>
    </w:p>
    <w:p w14:paraId="74C2E2B9" w14:textId="77777777" w:rsidR="00766973" w:rsidRPr="00A27BA4" w:rsidRDefault="00766973" w:rsidP="00873A85">
      <w:pPr>
        <w:spacing w:after="0"/>
        <w:rPr>
          <w:rFonts w:ascii="Arial" w:hAnsi="Arial" w:cs="Arial"/>
        </w:rPr>
      </w:pPr>
    </w:p>
    <w:p w14:paraId="7380D55B" w14:textId="56294B71" w:rsidR="00766973" w:rsidRPr="00A27BA4" w:rsidRDefault="00873A85" w:rsidP="00873A85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A27BA4">
        <w:rPr>
          <w:rFonts w:ascii="Arial" w:hAnsi="Arial" w:cs="Arial"/>
          <w:color w:val="000000"/>
          <w:lang w:val="en-US"/>
        </w:rPr>
        <w:t xml:space="preserve">State three </w:t>
      </w:r>
      <w:r w:rsidR="009C1908" w:rsidRPr="00A27BA4">
        <w:rPr>
          <w:rFonts w:ascii="Arial" w:hAnsi="Arial" w:cs="Arial"/>
          <w:color w:val="000000"/>
          <w:lang w:val="en-US"/>
        </w:rPr>
        <w:t xml:space="preserve">advantages </w:t>
      </w:r>
      <w:r w:rsidR="009361EE" w:rsidRPr="00A27BA4">
        <w:rPr>
          <w:rFonts w:ascii="Arial" w:hAnsi="Arial" w:cs="Arial"/>
          <w:color w:val="000000"/>
          <w:lang w:val="en-US"/>
        </w:rPr>
        <w:t xml:space="preserve">of issuing </w:t>
      </w:r>
      <w:r w:rsidR="009C1908" w:rsidRPr="00A27BA4">
        <w:rPr>
          <w:rFonts w:ascii="Arial" w:hAnsi="Arial" w:cs="Arial"/>
          <w:color w:val="000000"/>
          <w:lang w:val="en-US"/>
        </w:rPr>
        <w:t>bonus shares.</w:t>
      </w:r>
    </w:p>
    <w:p w14:paraId="5F0B1197" w14:textId="145A0A91" w:rsidR="001D0007" w:rsidRPr="00A27BA4" w:rsidRDefault="00A27BA4" w:rsidP="00A27BA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 xml:space="preserve">What is Financial </w:t>
      </w:r>
      <w:r w:rsidR="00CB7A75" w:rsidRPr="00A27BA4">
        <w:rPr>
          <w:rFonts w:ascii="Arial" w:hAnsi="Arial" w:cs="Arial"/>
          <w:sz w:val="22"/>
          <w:szCs w:val="22"/>
        </w:rPr>
        <w:t>Management? State</w:t>
      </w:r>
      <w:r w:rsidRPr="00A27BA4">
        <w:rPr>
          <w:rFonts w:ascii="Arial" w:hAnsi="Arial" w:cs="Arial"/>
          <w:sz w:val="22"/>
          <w:szCs w:val="22"/>
        </w:rPr>
        <w:t xml:space="preserve"> the</w:t>
      </w:r>
      <w:r w:rsidR="009C1908" w:rsidRPr="00A27BA4">
        <w:rPr>
          <w:rFonts w:ascii="Arial" w:hAnsi="Arial" w:cs="Arial"/>
          <w:sz w:val="22"/>
          <w:szCs w:val="22"/>
        </w:rPr>
        <w:t xml:space="preserve"> </w:t>
      </w:r>
      <w:r w:rsidR="0017005A">
        <w:rPr>
          <w:rFonts w:ascii="Arial" w:hAnsi="Arial" w:cs="Arial"/>
          <w:sz w:val="22"/>
          <w:szCs w:val="22"/>
        </w:rPr>
        <w:t>decisions</w:t>
      </w:r>
      <w:r w:rsidR="009C1908" w:rsidRPr="00A27BA4">
        <w:rPr>
          <w:rFonts w:ascii="Arial" w:hAnsi="Arial" w:cs="Arial"/>
          <w:sz w:val="22"/>
          <w:szCs w:val="22"/>
        </w:rPr>
        <w:t xml:space="preserve"> of  </w:t>
      </w:r>
      <w:r w:rsidR="0017005A">
        <w:rPr>
          <w:rFonts w:ascii="Arial" w:hAnsi="Arial" w:cs="Arial"/>
          <w:sz w:val="22"/>
          <w:szCs w:val="22"/>
        </w:rPr>
        <w:t>financial management</w:t>
      </w:r>
      <w:r w:rsidR="009C1908" w:rsidRPr="00A27BA4">
        <w:rPr>
          <w:rFonts w:ascii="Arial" w:hAnsi="Arial" w:cs="Arial"/>
          <w:sz w:val="22"/>
          <w:szCs w:val="22"/>
        </w:rPr>
        <w:t>.</w:t>
      </w:r>
      <w:r w:rsidR="00342608" w:rsidRPr="00A27BA4">
        <w:rPr>
          <w:rFonts w:ascii="Arial" w:hAnsi="Arial" w:cs="Arial"/>
          <w:sz w:val="22"/>
          <w:szCs w:val="22"/>
        </w:rPr>
        <w:t xml:space="preserve"> </w:t>
      </w:r>
    </w:p>
    <w:p w14:paraId="1D8FB06C" w14:textId="6F049D58" w:rsidR="00766973" w:rsidRPr="00A27BA4" w:rsidRDefault="00766973" w:rsidP="00873A8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 xml:space="preserve">What </w:t>
      </w:r>
      <w:r w:rsidR="00873A85" w:rsidRPr="00A27BA4">
        <w:rPr>
          <w:rFonts w:ascii="Arial" w:hAnsi="Arial" w:cs="Arial"/>
          <w:sz w:val="22"/>
          <w:szCs w:val="22"/>
        </w:rPr>
        <w:t>is</w:t>
      </w:r>
      <w:r w:rsidR="009E7502" w:rsidRPr="00A27BA4">
        <w:rPr>
          <w:rFonts w:ascii="Arial" w:hAnsi="Arial" w:cs="Arial"/>
          <w:sz w:val="22"/>
          <w:szCs w:val="22"/>
        </w:rPr>
        <w:t xml:space="preserve"> dividend? State t</w:t>
      </w:r>
      <w:r w:rsidR="009361EE" w:rsidRPr="00A27BA4">
        <w:rPr>
          <w:rFonts w:ascii="Arial" w:hAnsi="Arial" w:cs="Arial"/>
          <w:sz w:val="22"/>
          <w:szCs w:val="22"/>
        </w:rPr>
        <w:t>hree</w:t>
      </w:r>
      <w:r w:rsidR="009E7502" w:rsidRPr="00A27BA4">
        <w:rPr>
          <w:rFonts w:ascii="Arial" w:hAnsi="Arial" w:cs="Arial"/>
          <w:sz w:val="22"/>
          <w:szCs w:val="22"/>
        </w:rPr>
        <w:t xml:space="preserve"> types of </w:t>
      </w:r>
      <w:r w:rsidR="009361EE" w:rsidRPr="00A27BA4">
        <w:rPr>
          <w:rFonts w:ascii="Arial" w:hAnsi="Arial" w:cs="Arial"/>
          <w:sz w:val="22"/>
          <w:szCs w:val="22"/>
        </w:rPr>
        <w:t>dividends</w:t>
      </w:r>
      <w:r w:rsidR="009E7502" w:rsidRPr="00A27BA4">
        <w:rPr>
          <w:rFonts w:ascii="Arial" w:hAnsi="Arial" w:cs="Arial"/>
          <w:sz w:val="22"/>
          <w:szCs w:val="22"/>
        </w:rPr>
        <w:t xml:space="preserve"> a company pays.</w:t>
      </w:r>
    </w:p>
    <w:p w14:paraId="2C6FD3B0" w14:textId="04CE28EB" w:rsidR="00766973" w:rsidRPr="00A27BA4" w:rsidRDefault="009E7502" w:rsidP="00873A8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color w:val="0D0D0D"/>
          <w:sz w:val="22"/>
          <w:szCs w:val="22"/>
          <w:shd w:val="clear" w:color="auto" w:fill="FFFFFF"/>
        </w:rPr>
        <w:t>Why is capital budgeting considered essential for businesses</w:t>
      </w:r>
      <w:r w:rsidR="00F32757">
        <w:rPr>
          <w:rFonts w:ascii="Arial" w:hAnsi="Arial" w:cs="Arial"/>
          <w:color w:val="0D0D0D"/>
          <w:sz w:val="22"/>
          <w:szCs w:val="22"/>
          <w:shd w:val="clear" w:color="auto" w:fill="FFFFFF"/>
        </w:rPr>
        <w:t>?</w:t>
      </w:r>
    </w:p>
    <w:p w14:paraId="5918C01B" w14:textId="1F152132" w:rsidR="00766973" w:rsidRPr="00A27BA4" w:rsidRDefault="009361EE" w:rsidP="00873A8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What </w:t>
      </w:r>
      <w:r w:rsidR="009E7502" w:rsidRPr="00A27BA4">
        <w:rPr>
          <w:rFonts w:ascii="Arial" w:hAnsi="Arial" w:cs="Arial"/>
          <w:color w:val="0D0D0D"/>
          <w:sz w:val="22"/>
          <w:szCs w:val="22"/>
          <w:shd w:val="clear" w:color="auto" w:fill="FFFFFF"/>
        </w:rPr>
        <w:t>are the primary motives that drive businesses to hold cash?</w:t>
      </w:r>
    </w:p>
    <w:p w14:paraId="6DF5D3FE" w14:textId="77777777" w:rsidR="00A27BA4" w:rsidRPr="00A27BA4" w:rsidRDefault="00A27BA4" w:rsidP="00873A8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 xml:space="preserve">The following data is available for ABC Ltd. Rs. </w:t>
      </w:r>
    </w:p>
    <w:p w14:paraId="4BEA8DB6" w14:textId="77777777" w:rsidR="00A27BA4" w:rsidRPr="00A27BA4" w:rsidRDefault="00A27BA4" w:rsidP="00A27BA4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 xml:space="preserve">Sales :7,50,000 </w:t>
      </w:r>
    </w:p>
    <w:p w14:paraId="068A03E3" w14:textId="77777777" w:rsidR="00A27BA4" w:rsidRPr="00A27BA4" w:rsidRDefault="00A27BA4" w:rsidP="00A27BA4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 xml:space="preserve">Variable Cost :4,20,000 </w:t>
      </w:r>
    </w:p>
    <w:p w14:paraId="2EE97996" w14:textId="740476BE" w:rsidR="00A27BA4" w:rsidRPr="00A27BA4" w:rsidRDefault="00A27BA4" w:rsidP="00A27BA4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>Fixed Cost</w:t>
      </w:r>
      <w:r w:rsidR="00F32757">
        <w:rPr>
          <w:rFonts w:ascii="Arial" w:hAnsi="Arial" w:cs="Arial"/>
          <w:sz w:val="22"/>
          <w:szCs w:val="22"/>
        </w:rPr>
        <w:t>:</w:t>
      </w:r>
      <w:r w:rsidRPr="00A27BA4">
        <w:rPr>
          <w:rFonts w:ascii="Arial" w:hAnsi="Arial" w:cs="Arial"/>
          <w:sz w:val="22"/>
          <w:szCs w:val="22"/>
        </w:rPr>
        <w:t xml:space="preserve"> 60,000 </w:t>
      </w:r>
    </w:p>
    <w:p w14:paraId="4A969BAE" w14:textId="6A4C39C7" w:rsidR="00A27BA4" w:rsidRPr="00A27BA4" w:rsidRDefault="00A27BA4" w:rsidP="00A27BA4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 xml:space="preserve">Debt </w:t>
      </w:r>
      <w:r w:rsidR="00F32757">
        <w:rPr>
          <w:rFonts w:ascii="Arial" w:hAnsi="Arial" w:cs="Arial"/>
          <w:sz w:val="22"/>
          <w:szCs w:val="22"/>
        </w:rPr>
        <w:t>:</w:t>
      </w:r>
      <w:r w:rsidRPr="00A27BA4">
        <w:rPr>
          <w:rFonts w:ascii="Arial" w:hAnsi="Arial" w:cs="Arial"/>
          <w:sz w:val="22"/>
          <w:szCs w:val="22"/>
        </w:rPr>
        <w:t>4,50,</w:t>
      </w:r>
      <w:r w:rsidR="00CB7A75" w:rsidRPr="00A27BA4">
        <w:rPr>
          <w:rFonts w:ascii="Arial" w:hAnsi="Arial" w:cs="Arial"/>
          <w:sz w:val="22"/>
          <w:szCs w:val="22"/>
        </w:rPr>
        <w:t>000(Interest</w:t>
      </w:r>
      <w:r w:rsidRPr="00A27BA4">
        <w:rPr>
          <w:rFonts w:ascii="Arial" w:hAnsi="Arial" w:cs="Arial"/>
          <w:sz w:val="22"/>
          <w:szCs w:val="22"/>
        </w:rPr>
        <w:t xml:space="preserve"> on Debt @ 9</w:t>
      </w:r>
      <w:r w:rsidR="00CB7A75" w:rsidRPr="00A27BA4">
        <w:rPr>
          <w:rFonts w:ascii="Arial" w:hAnsi="Arial" w:cs="Arial"/>
          <w:sz w:val="22"/>
          <w:szCs w:val="22"/>
        </w:rPr>
        <w:t>%)</w:t>
      </w:r>
    </w:p>
    <w:p w14:paraId="70391FBD" w14:textId="51201569" w:rsidR="00A27BA4" w:rsidRPr="00A27BA4" w:rsidRDefault="00A27BA4" w:rsidP="00A27BA4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A27BA4">
        <w:rPr>
          <w:rFonts w:ascii="Arial" w:hAnsi="Arial" w:cs="Arial"/>
          <w:sz w:val="22"/>
          <w:szCs w:val="22"/>
        </w:rPr>
        <w:t>Equity Capital</w:t>
      </w:r>
      <w:r w:rsidR="00B30A85">
        <w:rPr>
          <w:rFonts w:ascii="Arial" w:hAnsi="Arial" w:cs="Arial"/>
          <w:sz w:val="22"/>
          <w:szCs w:val="22"/>
        </w:rPr>
        <w:t>:</w:t>
      </w:r>
      <w:r w:rsidRPr="00A27BA4">
        <w:rPr>
          <w:rFonts w:ascii="Arial" w:hAnsi="Arial" w:cs="Arial"/>
          <w:sz w:val="22"/>
          <w:szCs w:val="22"/>
        </w:rPr>
        <w:t xml:space="preserve"> 5,50,000</w:t>
      </w:r>
    </w:p>
    <w:p w14:paraId="737D53CC" w14:textId="60E0650A" w:rsidR="00A27BA4" w:rsidRPr="00A27BA4" w:rsidRDefault="00CB7A75" w:rsidP="00A27BA4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A27BA4">
        <w:t>Calculate Operating</w:t>
      </w:r>
      <w:r w:rsidR="00A27BA4" w:rsidRPr="00A27BA4">
        <w:t>, financial and combined leverage.</w:t>
      </w:r>
    </w:p>
    <w:p w14:paraId="6FDC9BCA" w14:textId="04AA0893" w:rsidR="00873A85" w:rsidRPr="00DC7091" w:rsidRDefault="00873A85" w:rsidP="001D0007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EB6EAEE" w14:textId="77777777" w:rsidR="009C1908" w:rsidRPr="009C1908" w:rsidRDefault="009C1908" w:rsidP="009C190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D517F14" w14:textId="77777777" w:rsidR="00766973" w:rsidRPr="009679C4" w:rsidRDefault="00766973" w:rsidP="00873A8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679C4">
        <w:rPr>
          <w:rFonts w:ascii="Arial" w:hAnsi="Arial" w:cs="Arial"/>
          <w:b/>
          <w:sz w:val="22"/>
          <w:szCs w:val="22"/>
        </w:rPr>
        <w:t>PART- B</w:t>
      </w:r>
    </w:p>
    <w:p w14:paraId="3A851548" w14:textId="77777777" w:rsidR="00873A85" w:rsidRDefault="00873A85" w:rsidP="00873A85">
      <w:pPr>
        <w:pStyle w:val="Default"/>
        <w:rPr>
          <w:rFonts w:ascii="Arial" w:hAnsi="Arial" w:cs="Arial"/>
          <w:sz w:val="22"/>
          <w:szCs w:val="22"/>
        </w:rPr>
      </w:pPr>
    </w:p>
    <w:p w14:paraId="1E8E3E1B" w14:textId="77777777" w:rsidR="00766973" w:rsidRPr="009679C4" w:rsidRDefault="00766973" w:rsidP="00873A85">
      <w:pPr>
        <w:pStyle w:val="Default"/>
        <w:rPr>
          <w:rFonts w:ascii="Arial" w:hAnsi="Arial" w:cs="Arial"/>
          <w:sz w:val="22"/>
          <w:szCs w:val="22"/>
        </w:rPr>
      </w:pPr>
      <w:r w:rsidRPr="009679C4">
        <w:rPr>
          <w:rFonts w:ascii="Arial" w:hAnsi="Arial" w:cs="Arial"/>
          <w:sz w:val="22"/>
          <w:szCs w:val="22"/>
        </w:rPr>
        <w:t xml:space="preserve">Answer any </w:t>
      </w:r>
      <w:r w:rsidRPr="009679C4">
        <w:rPr>
          <w:rFonts w:ascii="Arial" w:hAnsi="Arial" w:cs="Arial"/>
          <w:b/>
          <w:bCs/>
          <w:sz w:val="22"/>
          <w:szCs w:val="22"/>
        </w:rPr>
        <w:t xml:space="preserve">TWO </w:t>
      </w:r>
      <w:r w:rsidRPr="009679C4">
        <w:rPr>
          <w:rFonts w:ascii="Arial" w:hAnsi="Arial" w:cs="Arial"/>
          <w:sz w:val="22"/>
          <w:szCs w:val="22"/>
        </w:rPr>
        <w:t xml:space="preserve">questions. Each question carries 5 marks. </w:t>
      </w:r>
      <w:r w:rsidR="00873A85">
        <w:rPr>
          <w:rFonts w:ascii="Arial" w:hAnsi="Arial" w:cs="Arial"/>
          <w:sz w:val="22"/>
          <w:szCs w:val="22"/>
        </w:rPr>
        <w:tab/>
      </w:r>
      <w:r w:rsidR="00873A85">
        <w:rPr>
          <w:rFonts w:ascii="Arial" w:hAnsi="Arial" w:cs="Arial"/>
          <w:sz w:val="22"/>
          <w:szCs w:val="22"/>
        </w:rPr>
        <w:tab/>
      </w:r>
      <w:r w:rsidR="00873A85">
        <w:rPr>
          <w:rFonts w:ascii="Arial" w:hAnsi="Arial" w:cs="Arial"/>
          <w:sz w:val="22"/>
          <w:szCs w:val="22"/>
        </w:rPr>
        <w:tab/>
      </w:r>
      <w:r w:rsidRPr="00342608">
        <w:rPr>
          <w:rFonts w:ascii="Arial" w:hAnsi="Arial" w:cs="Arial"/>
          <w:b/>
          <w:bCs/>
          <w:sz w:val="22"/>
          <w:szCs w:val="22"/>
        </w:rPr>
        <w:t>(2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X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5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=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10)</w:t>
      </w:r>
      <w:r w:rsidRPr="009679C4">
        <w:rPr>
          <w:rFonts w:ascii="Arial" w:hAnsi="Arial" w:cs="Arial"/>
          <w:sz w:val="22"/>
          <w:szCs w:val="22"/>
        </w:rPr>
        <w:t xml:space="preserve"> </w:t>
      </w:r>
    </w:p>
    <w:p w14:paraId="51F14835" w14:textId="77777777" w:rsidR="00766973" w:rsidRPr="009679C4" w:rsidRDefault="00766973" w:rsidP="00766973">
      <w:pPr>
        <w:pStyle w:val="Default"/>
        <w:rPr>
          <w:rFonts w:ascii="Arial" w:hAnsi="Arial" w:cs="Arial"/>
          <w:sz w:val="22"/>
          <w:szCs w:val="22"/>
        </w:rPr>
      </w:pPr>
    </w:p>
    <w:p w14:paraId="306BEE26" w14:textId="7022D19D" w:rsidR="00766973" w:rsidRPr="00CB7A75" w:rsidRDefault="006B5A08" w:rsidP="00766973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6B5A08">
        <w:rPr>
          <w:rFonts w:ascii="Arial" w:hAnsi="Arial" w:cs="Arial"/>
          <w:color w:val="auto"/>
          <w:sz w:val="22"/>
          <w:szCs w:val="22"/>
          <w:lang w:val="en-IN"/>
        </w:rPr>
        <w:t xml:space="preserve">A company is requiring a machine which needs an investment of rupees 3,20,000. The </w:t>
      </w:r>
      <w:r w:rsidR="001D0F1F">
        <w:rPr>
          <w:rFonts w:ascii="Arial" w:hAnsi="Arial" w:cs="Arial"/>
          <w:color w:val="auto"/>
          <w:sz w:val="22"/>
          <w:szCs w:val="22"/>
          <w:lang w:val="en-IN"/>
        </w:rPr>
        <w:t>profits</w:t>
      </w:r>
      <w:r w:rsidRPr="006B5A08">
        <w:rPr>
          <w:rFonts w:ascii="Arial" w:hAnsi="Arial" w:cs="Arial"/>
          <w:color w:val="auto"/>
          <w:sz w:val="22"/>
          <w:szCs w:val="22"/>
          <w:lang w:val="en-IN"/>
        </w:rPr>
        <w:t xml:space="preserve"> before tax and depreciation </w:t>
      </w:r>
      <w:r w:rsidR="001D0F1F">
        <w:rPr>
          <w:rFonts w:ascii="Arial" w:hAnsi="Arial" w:cs="Arial"/>
          <w:color w:val="auto"/>
          <w:sz w:val="22"/>
          <w:szCs w:val="22"/>
          <w:lang w:val="en-IN"/>
        </w:rPr>
        <w:t>are</w:t>
      </w:r>
      <w:r w:rsidRPr="006B5A08">
        <w:rPr>
          <w:rFonts w:ascii="Arial" w:hAnsi="Arial" w:cs="Arial"/>
          <w:color w:val="auto"/>
          <w:sz w:val="22"/>
          <w:szCs w:val="22"/>
          <w:lang w:val="en-IN"/>
        </w:rPr>
        <w:t xml:space="preserve"> estimated as follows</w:t>
      </w:r>
      <w:r>
        <w:rPr>
          <w:rFonts w:ascii="Arial" w:hAnsi="Arial" w:cs="Arial"/>
          <w:color w:val="auto"/>
          <w:sz w:val="22"/>
          <w:szCs w:val="22"/>
          <w:lang w:val="en-IN"/>
        </w:rPr>
        <w:t>:</w:t>
      </w:r>
    </w:p>
    <w:p w14:paraId="1C29855C" w14:textId="77777777" w:rsidR="00725193" w:rsidRPr="00725193" w:rsidRDefault="00725193" w:rsidP="00725193">
      <w:pPr>
        <w:pStyle w:val="Default"/>
        <w:ind w:left="720"/>
        <w:rPr>
          <w:rFonts w:ascii="Arial" w:hAnsi="Arial" w:cs="Arial"/>
          <w:color w:val="auto"/>
          <w:sz w:val="20"/>
          <w:szCs w:val="20"/>
          <w:highlight w:val="yellow"/>
        </w:rPr>
      </w:pPr>
    </w:p>
    <w:p w14:paraId="607E1594" w14:textId="5CC79078" w:rsidR="00BC243B" w:rsidRDefault="00BC243B" w:rsidP="00BC243B">
      <w:pPr>
        <w:pStyle w:val="Default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968"/>
      </w:tblGrid>
      <w:tr w:rsidR="00725193" w14:paraId="1E645CEB" w14:textId="77777777" w:rsidTr="00725193">
        <w:tc>
          <w:tcPr>
            <w:tcW w:w="4662" w:type="dxa"/>
          </w:tcPr>
          <w:p w14:paraId="757F2C0D" w14:textId="49E3ACF3" w:rsidR="00725193" w:rsidRPr="00725193" w:rsidRDefault="00725193" w:rsidP="00BC243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193">
              <w:rPr>
                <w:rFonts w:ascii="Arial" w:hAnsi="Arial" w:cs="Arial"/>
                <w:b/>
                <w:bCs/>
                <w:sz w:val="22"/>
                <w:szCs w:val="22"/>
              </w:rPr>
              <w:t>Years</w:t>
            </w:r>
          </w:p>
        </w:tc>
        <w:tc>
          <w:tcPr>
            <w:tcW w:w="3968" w:type="dxa"/>
          </w:tcPr>
          <w:p w14:paraId="2AC9E509" w14:textId="46E54CAC" w:rsidR="00725193" w:rsidRPr="00725193" w:rsidRDefault="006B5A08" w:rsidP="00BC243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Profit before Depreciation &amp; Tax</w:t>
            </w:r>
          </w:p>
        </w:tc>
      </w:tr>
      <w:tr w:rsidR="00725193" w14:paraId="72CEFCAE" w14:textId="77777777" w:rsidTr="00725193">
        <w:tc>
          <w:tcPr>
            <w:tcW w:w="4662" w:type="dxa"/>
          </w:tcPr>
          <w:p w14:paraId="0B4D6443" w14:textId="46C09C50" w:rsidR="00725193" w:rsidRDefault="00725193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8" w:type="dxa"/>
          </w:tcPr>
          <w:p w14:paraId="330C1D5B" w14:textId="030C9C2D" w:rsidR="00725193" w:rsidRDefault="006B5A08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1,60,000</w:t>
            </w:r>
          </w:p>
        </w:tc>
      </w:tr>
      <w:tr w:rsidR="00725193" w14:paraId="5FBE6005" w14:textId="77777777" w:rsidTr="00725193">
        <w:tc>
          <w:tcPr>
            <w:tcW w:w="4662" w:type="dxa"/>
          </w:tcPr>
          <w:p w14:paraId="09C08A23" w14:textId="663983B9" w:rsidR="00725193" w:rsidRDefault="00725193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8" w:type="dxa"/>
          </w:tcPr>
          <w:p w14:paraId="3A801BFC" w14:textId="2301CA84" w:rsidR="00725193" w:rsidRDefault="006B5A08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</w:tr>
      <w:tr w:rsidR="00725193" w14:paraId="52FC0014" w14:textId="77777777" w:rsidTr="00725193">
        <w:tc>
          <w:tcPr>
            <w:tcW w:w="4662" w:type="dxa"/>
          </w:tcPr>
          <w:p w14:paraId="257698FA" w14:textId="477F482B" w:rsidR="00725193" w:rsidRDefault="00725193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8" w:type="dxa"/>
          </w:tcPr>
          <w:p w14:paraId="51D77DA5" w14:textId="58DD934B" w:rsidR="00725193" w:rsidRDefault="006B5A08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1,08,000</w:t>
            </w:r>
          </w:p>
        </w:tc>
      </w:tr>
      <w:tr w:rsidR="00725193" w14:paraId="2FFA2C8C" w14:textId="77777777" w:rsidTr="00725193">
        <w:tc>
          <w:tcPr>
            <w:tcW w:w="4662" w:type="dxa"/>
          </w:tcPr>
          <w:p w14:paraId="7A3C5F6B" w14:textId="2B8BB188" w:rsidR="00725193" w:rsidRDefault="00725193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8" w:type="dxa"/>
          </w:tcPr>
          <w:p w14:paraId="792588B3" w14:textId="4E8274EA" w:rsidR="00725193" w:rsidRDefault="006B5A08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1,12,000</w:t>
            </w:r>
          </w:p>
        </w:tc>
      </w:tr>
      <w:tr w:rsidR="00725193" w14:paraId="018CE5B8" w14:textId="77777777" w:rsidTr="00725193">
        <w:tc>
          <w:tcPr>
            <w:tcW w:w="4662" w:type="dxa"/>
          </w:tcPr>
          <w:p w14:paraId="767AD2BE" w14:textId="15557958" w:rsidR="00725193" w:rsidRDefault="00725193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968" w:type="dxa"/>
          </w:tcPr>
          <w:p w14:paraId="60F3BC55" w14:textId="27D4E083" w:rsidR="00725193" w:rsidRDefault="006B5A08" w:rsidP="00BC24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96,0000</w:t>
            </w:r>
          </w:p>
        </w:tc>
      </w:tr>
    </w:tbl>
    <w:p w14:paraId="793B0E53" w14:textId="77777777" w:rsidR="00725193" w:rsidRDefault="00725193" w:rsidP="00BC243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5B496E8" w14:textId="11B67F3A" w:rsidR="00725193" w:rsidRDefault="00725193" w:rsidP="00BC243B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</w:t>
      </w:r>
      <w:r w:rsidR="006B5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ARR</w:t>
      </w:r>
      <w:r w:rsidR="006B5A08">
        <w:rPr>
          <w:rFonts w:ascii="Arial" w:hAnsi="Arial" w:cs="Arial"/>
          <w:sz w:val="22"/>
          <w:szCs w:val="22"/>
        </w:rPr>
        <w:t xml:space="preserve"> if tax rate is 55% and deprecation is on straight line method.</w:t>
      </w:r>
    </w:p>
    <w:p w14:paraId="36003013" w14:textId="77777777" w:rsidR="00725193" w:rsidRDefault="00725193" w:rsidP="00BC243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86FD8F4" w14:textId="77777777" w:rsidR="00725193" w:rsidRPr="00DC7091" w:rsidRDefault="00725193" w:rsidP="00693AC5">
      <w:pPr>
        <w:pStyle w:val="Default"/>
        <w:rPr>
          <w:rFonts w:ascii="Arial" w:hAnsi="Arial" w:cs="Arial"/>
          <w:sz w:val="22"/>
          <w:szCs w:val="22"/>
        </w:rPr>
      </w:pPr>
    </w:p>
    <w:p w14:paraId="177584BA" w14:textId="305FA973" w:rsidR="0055284B" w:rsidRPr="00725193" w:rsidRDefault="009C1908" w:rsidP="0055284B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C7091">
        <w:rPr>
          <w:rFonts w:ascii="Arial" w:hAnsi="Arial" w:cs="Arial"/>
          <w:color w:val="0D0D0D"/>
          <w:sz w:val="22"/>
          <w:szCs w:val="22"/>
          <w:shd w:val="clear" w:color="auto" w:fill="FFFFFF"/>
        </w:rPr>
        <w:t>"Numbers tell a story, and a finance manager is the storyteller who ensures a happy ending for the organization."- E</w:t>
      </w:r>
      <w:r w:rsidR="009361EE">
        <w:rPr>
          <w:rFonts w:ascii="Arial" w:hAnsi="Arial" w:cs="Arial"/>
          <w:color w:val="0D0D0D"/>
          <w:sz w:val="22"/>
          <w:szCs w:val="22"/>
          <w:shd w:val="clear" w:color="auto" w:fill="FFFFFF"/>
        </w:rPr>
        <w:t>lucidate</w:t>
      </w:r>
      <w:r w:rsidRPr="00DC7091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the </w:t>
      </w:r>
      <w:r w:rsidR="005667C5">
        <w:rPr>
          <w:rFonts w:ascii="Arial" w:hAnsi="Arial" w:cs="Arial"/>
          <w:color w:val="0D0D0D"/>
          <w:sz w:val="22"/>
          <w:szCs w:val="22"/>
          <w:shd w:val="clear" w:color="auto" w:fill="FFFFFF"/>
        </w:rPr>
        <w:t>functions</w:t>
      </w:r>
      <w:r w:rsidRPr="00DC7091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of a finance manager</w:t>
      </w:r>
      <w:r w:rsidR="009361EE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in a business.</w:t>
      </w:r>
      <w:r w:rsidR="00454C44">
        <w:rPr>
          <w:rFonts w:ascii="Arial" w:hAnsi="Arial" w:cs="Arial"/>
          <w:color w:val="0D0D0D"/>
          <w:sz w:val="22"/>
          <w:szCs w:val="22"/>
          <w:shd w:val="clear" w:color="auto" w:fill="FFFFFF"/>
        </w:rPr>
        <w:tab/>
      </w:r>
    </w:p>
    <w:p w14:paraId="27317639" w14:textId="77777777" w:rsidR="0055284B" w:rsidRPr="00DC7091" w:rsidRDefault="0055284B" w:rsidP="0055284B">
      <w:pPr>
        <w:pStyle w:val="Default"/>
        <w:rPr>
          <w:rFonts w:ascii="Arial" w:hAnsi="Arial" w:cs="Arial"/>
          <w:sz w:val="22"/>
          <w:szCs w:val="22"/>
        </w:rPr>
      </w:pPr>
    </w:p>
    <w:p w14:paraId="3DABDD1F" w14:textId="77777777" w:rsidR="001D0007" w:rsidRPr="00DC7091" w:rsidRDefault="001D0007" w:rsidP="001D0007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5CFD5EE" w14:textId="5C35FAD9" w:rsidR="00766973" w:rsidRPr="00DC7091" w:rsidRDefault="00332843" w:rsidP="00766973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C7091">
        <w:rPr>
          <w:rFonts w:ascii="Arial" w:hAnsi="Arial" w:cs="Arial"/>
          <w:sz w:val="22"/>
          <w:szCs w:val="22"/>
        </w:rPr>
        <w:t xml:space="preserve">Use NPV </w:t>
      </w:r>
      <w:r w:rsidR="00DE031C">
        <w:rPr>
          <w:rFonts w:ascii="Arial" w:hAnsi="Arial" w:cs="Arial"/>
          <w:sz w:val="22"/>
          <w:szCs w:val="22"/>
        </w:rPr>
        <w:t xml:space="preserve">and </w:t>
      </w:r>
      <w:r w:rsidR="0055284B">
        <w:rPr>
          <w:rFonts w:ascii="Arial" w:hAnsi="Arial" w:cs="Arial"/>
          <w:sz w:val="22"/>
          <w:szCs w:val="22"/>
        </w:rPr>
        <w:t>Profitability</w:t>
      </w:r>
      <w:r w:rsidR="00DE031C">
        <w:rPr>
          <w:rFonts w:ascii="Arial" w:hAnsi="Arial" w:cs="Arial"/>
          <w:sz w:val="22"/>
          <w:szCs w:val="22"/>
        </w:rPr>
        <w:t xml:space="preserve"> Index </w:t>
      </w:r>
      <w:r w:rsidRPr="00DC7091">
        <w:rPr>
          <w:rFonts w:ascii="Arial" w:hAnsi="Arial" w:cs="Arial"/>
          <w:sz w:val="22"/>
          <w:szCs w:val="22"/>
        </w:rPr>
        <w:t>method to compare and analyze which Proposal is better to accept; Assume discounting rate is 10%.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70"/>
        <w:gridCol w:w="1697"/>
        <w:gridCol w:w="1697"/>
        <w:gridCol w:w="1697"/>
      </w:tblGrid>
      <w:tr w:rsidR="00332843" w14:paraId="5DFE9130" w14:textId="77777777" w:rsidTr="00332843">
        <w:tc>
          <w:tcPr>
            <w:tcW w:w="1769" w:type="dxa"/>
          </w:tcPr>
          <w:p w14:paraId="3E2CE67B" w14:textId="5F2C34E5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tcW w:w="1770" w:type="dxa"/>
          </w:tcPr>
          <w:p w14:paraId="5B92DB9E" w14:textId="034D776F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Cash outflow</w:t>
            </w:r>
          </w:p>
        </w:tc>
        <w:tc>
          <w:tcPr>
            <w:tcW w:w="5091" w:type="dxa"/>
            <w:gridSpan w:val="3"/>
          </w:tcPr>
          <w:p w14:paraId="505B6A01" w14:textId="55D1AA97" w:rsidR="00332843" w:rsidRDefault="00332843" w:rsidP="0033284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Cash inflow</w:t>
            </w:r>
          </w:p>
        </w:tc>
      </w:tr>
      <w:tr w:rsidR="00332843" w14:paraId="60B21E37" w14:textId="77777777" w:rsidTr="00332843">
        <w:tc>
          <w:tcPr>
            <w:tcW w:w="1769" w:type="dxa"/>
          </w:tcPr>
          <w:p w14:paraId="0A14BCB3" w14:textId="70BCC9C1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70" w:type="dxa"/>
          </w:tcPr>
          <w:p w14:paraId="5897E5D5" w14:textId="797805BB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697" w:type="dxa"/>
          </w:tcPr>
          <w:p w14:paraId="56590F2B" w14:textId="5F937F5C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</w:t>
            </w:r>
          </w:p>
        </w:tc>
        <w:tc>
          <w:tcPr>
            <w:tcW w:w="1697" w:type="dxa"/>
          </w:tcPr>
          <w:p w14:paraId="31A7C8F4" w14:textId="7248F0C6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697" w:type="dxa"/>
          </w:tcPr>
          <w:p w14:paraId="0CD4F470" w14:textId="6DABF3B2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332843" w14:paraId="77065CBD" w14:textId="77777777" w:rsidTr="00332843">
        <w:tc>
          <w:tcPr>
            <w:tcW w:w="1769" w:type="dxa"/>
          </w:tcPr>
          <w:p w14:paraId="2A84545A" w14:textId="0E361FCD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770" w:type="dxa"/>
          </w:tcPr>
          <w:p w14:paraId="31A4C7E1" w14:textId="35C5AC29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697" w:type="dxa"/>
          </w:tcPr>
          <w:p w14:paraId="1994CBA5" w14:textId="6CB9158E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697" w:type="dxa"/>
          </w:tcPr>
          <w:p w14:paraId="7C5548A9" w14:textId="505898F8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697" w:type="dxa"/>
          </w:tcPr>
          <w:p w14:paraId="6ED185C9" w14:textId="7E890077" w:rsidR="00332843" w:rsidRDefault="00332843" w:rsidP="003328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</w:t>
            </w:r>
          </w:p>
        </w:tc>
      </w:tr>
    </w:tbl>
    <w:p w14:paraId="3B743F91" w14:textId="77777777" w:rsidR="009C1908" w:rsidRDefault="009C1908" w:rsidP="00DC7091">
      <w:pPr>
        <w:pStyle w:val="Default"/>
        <w:rPr>
          <w:rFonts w:ascii="Arial" w:hAnsi="Arial" w:cs="Arial"/>
          <w:sz w:val="22"/>
          <w:szCs w:val="22"/>
        </w:rPr>
      </w:pPr>
    </w:p>
    <w:p w14:paraId="414F0DB0" w14:textId="77777777" w:rsidR="00873A85" w:rsidRPr="00873A85" w:rsidRDefault="00873A85" w:rsidP="00873A85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0CCE717" w14:textId="77777777" w:rsidR="00766973" w:rsidRPr="009679C4" w:rsidRDefault="00766973" w:rsidP="00873A8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679C4">
        <w:rPr>
          <w:rFonts w:ascii="Arial" w:hAnsi="Arial" w:cs="Arial"/>
          <w:b/>
          <w:bCs/>
          <w:sz w:val="22"/>
          <w:szCs w:val="22"/>
        </w:rPr>
        <w:t>PART- C</w:t>
      </w:r>
    </w:p>
    <w:p w14:paraId="1FCA2224" w14:textId="77777777" w:rsidR="00766973" w:rsidRPr="009679C4" w:rsidRDefault="00766973" w:rsidP="00766973">
      <w:pPr>
        <w:pStyle w:val="Default"/>
        <w:rPr>
          <w:rFonts w:ascii="Arial" w:hAnsi="Arial" w:cs="Arial"/>
          <w:sz w:val="22"/>
          <w:szCs w:val="22"/>
        </w:rPr>
      </w:pPr>
    </w:p>
    <w:p w14:paraId="288C8F2E" w14:textId="77777777" w:rsidR="00766973" w:rsidRPr="00342608" w:rsidRDefault="00766973" w:rsidP="00873A8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679C4">
        <w:rPr>
          <w:rFonts w:ascii="Arial" w:hAnsi="Arial" w:cs="Arial"/>
          <w:sz w:val="22"/>
          <w:szCs w:val="22"/>
        </w:rPr>
        <w:t xml:space="preserve">Answer any </w:t>
      </w:r>
      <w:r w:rsidRPr="009679C4">
        <w:rPr>
          <w:rFonts w:ascii="Arial" w:hAnsi="Arial" w:cs="Arial"/>
          <w:b/>
          <w:bCs/>
          <w:sz w:val="22"/>
          <w:szCs w:val="22"/>
        </w:rPr>
        <w:t xml:space="preserve">TWO </w:t>
      </w:r>
      <w:r w:rsidRPr="009679C4">
        <w:rPr>
          <w:rFonts w:ascii="Arial" w:hAnsi="Arial" w:cs="Arial"/>
          <w:sz w:val="22"/>
          <w:szCs w:val="22"/>
        </w:rPr>
        <w:t xml:space="preserve">questions. Each question carries 10 marks. </w:t>
      </w:r>
      <w:r w:rsidR="00873A85">
        <w:rPr>
          <w:rFonts w:ascii="Arial" w:hAnsi="Arial" w:cs="Arial"/>
          <w:sz w:val="22"/>
          <w:szCs w:val="22"/>
        </w:rPr>
        <w:tab/>
      </w:r>
      <w:r w:rsidR="00873A85">
        <w:rPr>
          <w:rFonts w:ascii="Arial" w:hAnsi="Arial" w:cs="Arial"/>
          <w:sz w:val="22"/>
          <w:szCs w:val="22"/>
        </w:rPr>
        <w:tab/>
      </w:r>
      <w:r w:rsidR="00873A85">
        <w:rPr>
          <w:rFonts w:ascii="Arial" w:hAnsi="Arial" w:cs="Arial"/>
          <w:sz w:val="22"/>
          <w:szCs w:val="22"/>
        </w:rPr>
        <w:tab/>
      </w:r>
      <w:r w:rsidR="005C2CD6" w:rsidRPr="00342608">
        <w:rPr>
          <w:rFonts w:ascii="Arial" w:hAnsi="Arial" w:cs="Arial"/>
          <w:b/>
          <w:bCs/>
          <w:sz w:val="22"/>
          <w:szCs w:val="22"/>
        </w:rPr>
        <w:t>(2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X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10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=</w:t>
      </w:r>
      <w:r w:rsidR="00873A85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="005C2CD6" w:rsidRPr="00342608">
        <w:rPr>
          <w:rFonts w:ascii="Arial" w:hAnsi="Arial" w:cs="Arial"/>
          <w:b/>
          <w:bCs/>
          <w:sz w:val="22"/>
          <w:szCs w:val="22"/>
        </w:rPr>
        <w:t>2</w:t>
      </w:r>
      <w:r w:rsidRPr="00342608">
        <w:rPr>
          <w:rFonts w:ascii="Arial" w:hAnsi="Arial" w:cs="Arial"/>
          <w:b/>
          <w:bCs/>
          <w:sz w:val="22"/>
          <w:szCs w:val="22"/>
        </w:rPr>
        <w:t xml:space="preserve">0) </w:t>
      </w:r>
    </w:p>
    <w:p w14:paraId="335D91DB" w14:textId="77777777" w:rsidR="00766973" w:rsidRPr="009679C4" w:rsidRDefault="00766973" w:rsidP="00766973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3A7D064D" w14:textId="3D7C2DA3" w:rsidR="009C1908" w:rsidRPr="00DC7091" w:rsidRDefault="009C1908" w:rsidP="00B5410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C7091">
        <w:rPr>
          <w:rFonts w:ascii="Arial" w:hAnsi="Arial" w:cs="Arial"/>
          <w:color w:val="0D0D0D"/>
          <w:sz w:val="22"/>
          <w:szCs w:val="22"/>
          <w:shd w:val="clear" w:color="auto" w:fill="FFFFFF"/>
        </w:rPr>
        <w:t>Elaborate on the various factors that play a significant role in shaping the working capital needs of a company?</w:t>
      </w:r>
    </w:p>
    <w:p w14:paraId="36BE4C26" w14:textId="77777777" w:rsidR="001D0007" w:rsidRPr="00DC7091" w:rsidRDefault="001D0007" w:rsidP="001D0007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78E2D95" w14:textId="6B26D281" w:rsidR="00B54104" w:rsidRDefault="00454C44" w:rsidP="00D1072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machine involves an </w:t>
      </w:r>
      <w:r w:rsidR="0055284B">
        <w:rPr>
          <w:rFonts w:ascii="Arial" w:hAnsi="Arial" w:cs="Arial"/>
          <w:sz w:val="22"/>
          <w:szCs w:val="22"/>
        </w:rPr>
        <w:t>initial</w:t>
      </w:r>
      <w:r>
        <w:rPr>
          <w:rFonts w:ascii="Arial" w:hAnsi="Arial" w:cs="Arial"/>
          <w:sz w:val="22"/>
          <w:szCs w:val="22"/>
        </w:rPr>
        <w:t xml:space="preserve"> investment of Rs 2</w:t>
      </w:r>
      <w:r w:rsidR="00B713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="00B713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="0034260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and following cash flows for 5 </w:t>
      </w:r>
      <w:r w:rsidR="00C239E4">
        <w:rPr>
          <w:rFonts w:ascii="Arial" w:hAnsi="Arial" w:cs="Arial"/>
          <w:sz w:val="22"/>
          <w:szCs w:val="22"/>
        </w:rPr>
        <w:t>years.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0"/>
        <w:gridCol w:w="4330"/>
      </w:tblGrid>
      <w:tr w:rsidR="00454C44" w14:paraId="25BF1BD9" w14:textId="77777777" w:rsidTr="00454C44">
        <w:tc>
          <w:tcPr>
            <w:tcW w:w="4675" w:type="dxa"/>
          </w:tcPr>
          <w:p w14:paraId="6458FF45" w14:textId="337AD527" w:rsidR="00454C44" w:rsidRP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454C44">
              <w:rPr>
                <w:rFonts w:ascii="Arial" w:hAnsi="Arial" w:cs="Arial"/>
                <w:b/>
                <w:bCs/>
              </w:rPr>
              <w:t xml:space="preserve">Cash flow </w:t>
            </w:r>
          </w:p>
        </w:tc>
        <w:tc>
          <w:tcPr>
            <w:tcW w:w="4675" w:type="dxa"/>
          </w:tcPr>
          <w:p w14:paraId="4545E716" w14:textId="1A98CC3B" w:rsidR="00454C44" w:rsidRP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454C44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454C44" w14:paraId="18700592" w14:textId="77777777" w:rsidTr="00454C44">
        <w:tc>
          <w:tcPr>
            <w:tcW w:w="4675" w:type="dxa"/>
          </w:tcPr>
          <w:p w14:paraId="2F9C1A0B" w14:textId="196F8435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</w:t>
            </w:r>
          </w:p>
        </w:tc>
        <w:tc>
          <w:tcPr>
            <w:tcW w:w="4675" w:type="dxa"/>
          </w:tcPr>
          <w:p w14:paraId="129FD30B" w14:textId="6A3C5B40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B713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454C44" w14:paraId="40BC13C0" w14:textId="77777777" w:rsidTr="00454C44">
        <w:tc>
          <w:tcPr>
            <w:tcW w:w="4675" w:type="dxa"/>
          </w:tcPr>
          <w:p w14:paraId="1C926AD6" w14:textId="329C1DEE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</w:t>
            </w:r>
          </w:p>
        </w:tc>
        <w:tc>
          <w:tcPr>
            <w:tcW w:w="4675" w:type="dxa"/>
          </w:tcPr>
          <w:p w14:paraId="38196172" w14:textId="28859239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B713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454C44" w14:paraId="6B856E90" w14:textId="77777777" w:rsidTr="00454C44">
        <w:tc>
          <w:tcPr>
            <w:tcW w:w="4675" w:type="dxa"/>
          </w:tcPr>
          <w:p w14:paraId="0A4E9594" w14:textId="5F430BE2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4675" w:type="dxa"/>
          </w:tcPr>
          <w:p w14:paraId="03CD06AB" w14:textId="274764BB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B713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454C44" w14:paraId="20C61AD8" w14:textId="77777777" w:rsidTr="00454C44">
        <w:tc>
          <w:tcPr>
            <w:tcW w:w="4675" w:type="dxa"/>
          </w:tcPr>
          <w:p w14:paraId="6B8589CB" w14:textId="00252F7A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  <w:tc>
          <w:tcPr>
            <w:tcW w:w="4675" w:type="dxa"/>
          </w:tcPr>
          <w:p w14:paraId="7D0415D2" w14:textId="31F3851F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13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="00B713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454C44" w14:paraId="1EEFA257" w14:textId="77777777" w:rsidTr="00454C44">
        <w:tc>
          <w:tcPr>
            <w:tcW w:w="4675" w:type="dxa"/>
          </w:tcPr>
          <w:p w14:paraId="5274389A" w14:textId="2D048148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5</w:t>
            </w:r>
          </w:p>
        </w:tc>
        <w:tc>
          <w:tcPr>
            <w:tcW w:w="4675" w:type="dxa"/>
          </w:tcPr>
          <w:p w14:paraId="4FAC4569" w14:textId="42576D66" w:rsidR="00454C44" w:rsidRDefault="00454C44" w:rsidP="00454C4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13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20</w:t>
            </w:r>
            <w:r w:rsidR="00B713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</w:tc>
      </w:tr>
    </w:tbl>
    <w:p w14:paraId="01346952" w14:textId="5DD20365" w:rsidR="00454C44" w:rsidRPr="00B71386" w:rsidRDefault="00B71386" w:rsidP="00B7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54C44" w:rsidRPr="00B71386">
        <w:rPr>
          <w:rFonts w:ascii="Arial" w:hAnsi="Arial" w:cs="Arial"/>
        </w:rPr>
        <w:t xml:space="preserve"> Compute </w:t>
      </w:r>
      <w:r w:rsidRPr="00B71386">
        <w:rPr>
          <w:rFonts w:ascii="Arial" w:hAnsi="Arial" w:cs="Arial"/>
        </w:rPr>
        <w:t xml:space="preserve">the </w:t>
      </w:r>
      <w:r w:rsidR="00454C44" w:rsidRPr="00B71386">
        <w:rPr>
          <w:rFonts w:ascii="Arial" w:hAnsi="Arial" w:cs="Arial"/>
        </w:rPr>
        <w:t xml:space="preserve">internal rate of </w:t>
      </w:r>
      <w:r w:rsidR="00C239E4" w:rsidRPr="00B71386">
        <w:rPr>
          <w:rFonts w:ascii="Arial" w:hAnsi="Arial" w:cs="Arial"/>
        </w:rPr>
        <w:t>return.</w:t>
      </w:r>
      <w:r w:rsidR="00454C44" w:rsidRPr="00B71386">
        <w:rPr>
          <w:rFonts w:ascii="Arial" w:hAnsi="Arial" w:cs="Arial"/>
        </w:rPr>
        <w:t xml:space="preserve"> </w:t>
      </w:r>
    </w:p>
    <w:p w14:paraId="552845E7" w14:textId="5351EE15" w:rsidR="00454C44" w:rsidRDefault="00454C44" w:rsidP="00454C44">
      <w:pPr>
        <w:pStyle w:val="ListParagraph"/>
        <w:rPr>
          <w:rFonts w:ascii="Arial" w:hAnsi="Arial" w:cs="Arial"/>
        </w:rPr>
      </w:pPr>
      <w:r w:rsidRPr="00B71386">
        <w:rPr>
          <w:rFonts w:ascii="Arial" w:hAnsi="Arial" w:cs="Arial"/>
        </w:rPr>
        <w:t>(Trial rates 20% &amp; 29%)</w:t>
      </w:r>
    </w:p>
    <w:p w14:paraId="0918E004" w14:textId="77777777" w:rsidR="00B54104" w:rsidRPr="00DC7091" w:rsidRDefault="00B54104" w:rsidP="00B54104">
      <w:pPr>
        <w:pStyle w:val="Default"/>
        <w:rPr>
          <w:rFonts w:ascii="Arial" w:hAnsi="Arial" w:cs="Arial"/>
          <w:sz w:val="22"/>
          <w:szCs w:val="22"/>
        </w:rPr>
      </w:pPr>
    </w:p>
    <w:p w14:paraId="08382F07" w14:textId="77777777" w:rsidR="00B54104" w:rsidRPr="00DC7091" w:rsidRDefault="00B54104" w:rsidP="0076697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E9E20B9" w14:textId="69CAAD6C" w:rsidR="005C2CD6" w:rsidRPr="00DC7091" w:rsidRDefault="00B54104" w:rsidP="005C2CD6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C7091">
        <w:rPr>
          <w:rFonts w:ascii="Arial" w:hAnsi="Arial" w:cs="Arial"/>
          <w:sz w:val="22"/>
          <w:szCs w:val="22"/>
        </w:rPr>
        <w:t>The Capital Structure of Taj Ltd is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834"/>
      </w:tblGrid>
      <w:tr w:rsidR="00B54104" w:rsidRPr="00DC7091" w14:paraId="3628FACA" w14:textId="77777777" w:rsidTr="00B54104">
        <w:tc>
          <w:tcPr>
            <w:tcW w:w="5796" w:type="dxa"/>
          </w:tcPr>
          <w:p w14:paraId="1B89AB2F" w14:textId="62EBAB14" w:rsidR="00B54104" w:rsidRPr="00DC7091" w:rsidRDefault="00B54104" w:rsidP="00B5410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091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2834" w:type="dxa"/>
          </w:tcPr>
          <w:p w14:paraId="0B78D8FC" w14:textId="2D74C403" w:rsidR="00B54104" w:rsidRPr="00DC7091" w:rsidRDefault="00B54104" w:rsidP="00B5410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091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</w:tr>
      <w:tr w:rsidR="00B54104" w:rsidRPr="00DC7091" w14:paraId="2F75C68E" w14:textId="77777777" w:rsidTr="00B54104">
        <w:tc>
          <w:tcPr>
            <w:tcW w:w="5796" w:type="dxa"/>
          </w:tcPr>
          <w:p w14:paraId="5D29D68C" w14:textId="2BA79D44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Equity Share Capital (Rs100 each)</w:t>
            </w:r>
          </w:p>
        </w:tc>
        <w:tc>
          <w:tcPr>
            <w:tcW w:w="2834" w:type="dxa"/>
          </w:tcPr>
          <w:p w14:paraId="2918976C" w14:textId="63C8F69D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4000000</w:t>
            </w:r>
          </w:p>
        </w:tc>
      </w:tr>
      <w:tr w:rsidR="00B54104" w:rsidRPr="00DC7091" w14:paraId="29DF1815" w14:textId="77777777" w:rsidTr="00B54104">
        <w:tc>
          <w:tcPr>
            <w:tcW w:w="5796" w:type="dxa"/>
          </w:tcPr>
          <w:p w14:paraId="544EF187" w14:textId="795F185B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Retained Earnings</w:t>
            </w:r>
          </w:p>
        </w:tc>
        <w:tc>
          <w:tcPr>
            <w:tcW w:w="2834" w:type="dxa"/>
          </w:tcPr>
          <w:p w14:paraId="7394ADDE" w14:textId="35095214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1000000</w:t>
            </w:r>
          </w:p>
        </w:tc>
      </w:tr>
      <w:tr w:rsidR="00B54104" w:rsidRPr="00DC7091" w14:paraId="2821D52E" w14:textId="77777777" w:rsidTr="00B54104">
        <w:tc>
          <w:tcPr>
            <w:tcW w:w="5796" w:type="dxa"/>
          </w:tcPr>
          <w:p w14:paraId="6EABAFF9" w14:textId="4FAB72D8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9% Preference Shares</w:t>
            </w:r>
          </w:p>
        </w:tc>
        <w:tc>
          <w:tcPr>
            <w:tcW w:w="2834" w:type="dxa"/>
          </w:tcPr>
          <w:p w14:paraId="4B8AD533" w14:textId="5E5F7E65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2500000</w:t>
            </w:r>
          </w:p>
        </w:tc>
      </w:tr>
      <w:tr w:rsidR="00B54104" w:rsidRPr="00DC7091" w14:paraId="65B01E91" w14:textId="77777777" w:rsidTr="00B54104">
        <w:tc>
          <w:tcPr>
            <w:tcW w:w="5796" w:type="dxa"/>
          </w:tcPr>
          <w:p w14:paraId="37D696AD" w14:textId="0E2940F9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7% Debentures</w:t>
            </w:r>
          </w:p>
        </w:tc>
        <w:tc>
          <w:tcPr>
            <w:tcW w:w="2834" w:type="dxa"/>
          </w:tcPr>
          <w:p w14:paraId="3E5F363A" w14:textId="79A6CA75" w:rsidR="00B54104" w:rsidRPr="00DC7091" w:rsidRDefault="00B54104" w:rsidP="00B541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091">
              <w:rPr>
                <w:rFonts w:ascii="Arial" w:hAnsi="Arial" w:cs="Arial"/>
                <w:sz w:val="22"/>
                <w:szCs w:val="22"/>
              </w:rPr>
              <w:t>2500000</w:t>
            </w:r>
          </w:p>
        </w:tc>
      </w:tr>
    </w:tbl>
    <w:p w14:paraId="0C16FEAF" w14:textId="46230E8F" w:rsidR="00B54104" w:rsidRPr="00CF6855" w:rsidRDefault="00B54104" w:rsidP="00B54104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DC7091">
        <w:rPr>
          <w:rFonts w:ascii="Arial" w:hAnsi="Arial" w:cs="Arial"/>
          <w:sz w:val="22"/>
          <w:szCs w:val="22"/>
        </w:rPr>
        <w:t xml:space="preserve">The management is planning to raise another 2500000 to finance its expansion program </w:t>
      </w:r>
      <w:r w:rsidRPr="00CF6855">
        <w:rPr>
          <w:rFonts w:ascii="Arial" w:hAnsi="Arial" w:cs="Arial"/>
          <w:sz w:val="22"/>
          <w:szCs w:val="22"/>
        </w:rPr>
        <w:t>and has identified three possible financial plans:</w:t>
      </w:r>
    </w:p>
    <w:p w14:paraId="7C90BEC9" w14:textId="0D0E09AA" w:rsidR="00B54104" w:rsidRPr="00CF6855" w:rsidRDefault="00B54104" w:rsidP="00B5410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6855">
        <w:rPr>
          <w:rFonts w:ascii="Arial" w:hAnsi="Arial" w:cs="Arial"/>
          <w:sz w:val="22"/>
          <w:szCs w:val="22"/>
        </w:rPr>
        <w:t xml:space="preserve">Issue 20000 equity shares </w:t>
      </w:r>
      <w:r w:rsidR="00B71386" w:rsidRPr="00CF6855">
        <w:rPr>
          <w:rFonts w:ascii="Arial" w:hAnsi="Arial" w:cs="Arial"/>
          <w:sz w:val="22"/>
          <w:szCs w:val="22"/>
        </w:rPr>
        <w:t>of Rs100 each at a</w:t>
      </w:r>
      <w:r w:rsidRPr="00CF6855">
        <w:rPr>
          <w:rFonts w:ascii="Arial" w:hAnsi="Arial" w:cs="Arial"/>
          <w:sz w:val="22"/>
          <w:szCs w:val="22"/>
        </w:rPr>
        <w:t xml:space="preserve"> premium of Rs 25 per share</w:t>
      </w:r>
    </w:p>
    <w:p w14:paraId="34005163" w14:textId="324E8030" w:rsidR="00B54104" w:rsidRPr="00CF6855" w:rsidRDefault="00B54104" w:rsidP="00B5410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6855">
        <w:rPr>
          <w:rFonts w:ascii="Arial" w:hAnsi="Arial" w:cs="Arial"/>
          <w:sz w:val="22"/>
          <w:szCs w:val="22"/>
        </w:rPr>
        <w:t xml:space="preserve">Issue 10% </w:t>
      </w:r>
      <w:r w:rsidR="0055284B" w:rsidRPr="00CF6855">
        <w:rPr>
          <w:rFonts w:ascii="Arial" w:hAnsi="Arial" w:cs="Arial"/>
          <w:sz w:val="22"/>
          <w:szCs w:val="22"/>
        </w:rPr>
        <w:t>Preference</w:t>
      </w:r>
      <w:r w:rsidRPr="00CF6855">
        <w:rPr>
          <w:rFonts w:ascii="Arial" w:hAnsi="Arial" w:cs="Arial"/>
          <w:sz w:val="22"/>
          <w:szCs w:val="22"/>
        </w:rPr>
        <w:t xml:space="preserve"> </w:t>
      </w:r>
      <w:r w:rsidR="00C239E4" w:rsidRPr="00CF6855">
        <w:rPr>
          <w:rFonts w:ascii="Arial" w:hAnsi="Arial" w:cs="Arial"/>
          <w:sz w:val="22"/>
          <w:szCs w:val="22"/>
        </w:rPr>
        <w:t>shares.</w:t>
      </w:r>
    </w:p>
    <w:p w14:paraId="4D4DD7FD" w14:textId="6CF03972" w:rsidR="00B54104" w:rsidRPr="00CF6855" w:rsidRDefault="00B54104" w:rsidP="00B5410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6855">
        <w:rPr>
          <w:rFonts w:ascii="Arial" w:hAnsi="Arial" w:cs="Arial"/>
          <w:sz w:val="22"/>
          <w:szCs w:val="22"/>
        </w:rPr>
        <w:t xml:space="preserve">Issue 9% </w:t>
      </w:r>
      <w:r w:rsidR="0055284B" w:rsidRPr="00CF6855">
        <w:rPr>
          <w:rFonts w:ascii="Arial" w:hAnsi="Arial" w:cs="Arial"/>
          <w:sz w:val="22"/>
          <w:szCs w:val="22"/>
        </w:rPr>
        <w:t>Debentures</w:t>
      </w:r>
    </w:p>
    <w:p w14:paraId="7FC9F8D5" w14:textId="77777777" w:rsidR="00B54104" w:rsidRPr="00CF6855" w:rsidRDefault="00B54104" w:rsidP="00B54104">
      <w:pPr>
        <w:pStyle w:val="Default"/>
        <w:rPr>
          <w:rFonts w:ascii="Arial" w:hAnsi="Arial" w:cs="Arial"/>
          <w:sz w:val="22"/>
          <w:szCs w:val="22"/>
        </w:rPr>
      </w:pPr>
    </w:p>
    <w:p w14:paraId="1E7B22E2" w14:textId="3D9574BB" w:rsidR="00B54104" w:rsidRPr="00DC7091" w:rsidRDefault="00B54104" w:rsidP="00B54104">
      <w:pPr>
        <w:pStyle w:val="Default"/>
        <w:rPr>
          <w:rFonts w:ascii="Arial" w:hAnsi="Arial" w:cs="Arial"/>
          <w:sz w:val="22"/>
          <w:szCs w:val="22"/>
        </w:rPr>
      </w:pPr>
      <w:r w:rsidRPr="00CF6855">
        <w:rPr>
          <w:rFonts w:ascii="Arial" w:hAnsi="Arial" w:cs="Arial"/>
          <w:sz w:val="22"/>
          <w:szCs w:val="22"/>
        </w:rPr>
        <w:lastRenderedPageBreak/>
        <w:t>The company</w:t>
      </w:r>
      <w:r w:rsidR="00A766B1" w:rsidRPr="00CF6855">
        <w:rPr>
          <w:rFonts w:ascii="Arial" w:hAnsi="Arial" w:cs="Arial"/>
          <w:sz w:val="22"/>
          <w:szCs w:val="22"/>
        </w:rPr>
        <w:t xml:space="preserve"> is expected to</w:t>
      </w:r>
      <w:r w:rsidRPr="00CF6855">
        <w:rPr>
          <w:rFonts w:ascii="Arial" w:hAnsi="Arial" w:cs="Arial"/>
          <w:sz w:val="22"/>
          <w:szCs w:val="22"/>
        </w:rPr>
        <w:t xml:space="preserve"> earn 12% on its</w:t>
      </w:r>
      <w:r w:rsidR="00B30A85">
        <w:rPr>
          <w:rFonts w:ascii="Arial" w:hAnsi="Arial" w:cs="Arial"/>
          <w:sz w:val="22"/>
          <w:szCs w:val="22"/>
        </w:rPr>
        <w:t xml:space="preserve"> total</w:t>
      </w:r>
      <w:r w:rsidRPr="00CF6855">
        <w:rPr>
          <w:rFonts w:ascii="Arial" w:hAnsi="Arial" w:cs="Arial"/>
          <w:sz w:val="22"/>
          <w:szCs w:val="22"/>
        </w:rPr>
        <w:t xml:space="preserve"> Capital structure. The </w:t>
      </w:r>
      <w:r w:rsidR="00CF6855">
        <w:rPr>
          <w:rFonts w:ascii="Arial" w:hAnsi="Arial" w:cs="Arial"/>
          <w:sz w:val="22"/>
          <w:szCs w:val="22"/>
        </w:rPr>
        <w:t xml:space="preserve">tax </w:t>
      </w:r>
      <w:r w:rsidRPr="00CF6855">
        <w:rPr>
          <w:rFonts w:ascii="Arial" w:hAnsi="Arial" w:cs="Arial"/>
          <w:sz w:val="22"/>
          <w:szCs w:val="22"/>
        </w:rPr>
        <w:t>rate applicable is 50</w:t>
      </w:r>
      <w:r w:rsidR="0055284B" w:rsidRPr="00CF6855">
        <w:rPr>
          <w:rFonts w:ascii="Arial" w:hAnsi="Arial" w:cs="Arial"/>
          <w:sz w:val="22"/>
          <w:szCs w:val="22"/>
        </w:rPr>
        <w:t>%. Price</w:t>
      </w:r>
      <w:r w:rsidRPr="00CF6855">
        <w:rPr>
          <w:rFonts w:ascii="Arial" w:hAnsi="Arial" w:cs="Arial"/>
          <w:sz w:val="22"/>
          <w:szCs w:val="22"/>
        </w:rPr>
        <w:t xml:space="preserve"> </w:t>
      </w:r>
      <w:r w:rsidR="0055284B" w:rsidRPr="00CF6855">
        <w:rPr>
          <w:rFonts w:ascii="Arial" w:hAnsi="Arial" w:cs="Arial"/>
          <w:sz w:val="22"/>
          <w:szCs w:val="22"/>
        </w:rPr>
        <w:t>Earnings</w:t>
      </w:r>
      <w:r w:rsidRPr="00CF6855">
        <w:rPr>
          <w:rFonts w:ascii="Arial" w:hAnsi="Arial" w:cs="Arial"/>
          <w:sz w:val="22"/>
          <w:szCs w:val="22"/>
        </w:rPr>
        <w:t xml:space="preserve"> ratio for the financial plans are 20,17,16 respectively.</w:t>
      </w:r>
    </w:p>
    <w:p w14:paraId="38F920B8" w14:textId="38815B54" w:rsidR="00B54104" w:rsidRPr="00DC7091" w:rsidRDefault="00B54104" w:rsidP="00B54104">
      <w:pPr>
        <w:pStyle w:val="Default"/>
        <w:rPr>
          <w:rFonts w:ascii="Arial" w:hAnsi="Arial" w:cs="Arial"/>
          <w:sz w:val="22"/>
          <w:szCs w:val="22"/>
        </w:rPr>
      </w:pPr>
      <w:r w:rsidRPr="00DC7091">
        <w:rPr>
          <w:rFonts w:ascii="Arial" w:hAnsi="Arial" w:cs="Arial"/>
          <w:sz w:val="22"/>
          <w:szCs w:val="22"/>
        </w:rPr>
        <w:t xml:space="preserve">On the basis of </w:t>
      </w:r>
      <w:r w:rsidR="0055284B" w:rsidRPr="00DC7091">
        <w:rPr>
          <w:rFonts w:ascii="Arial" w:hAnsi="Arial" w:cs="Arial"/>
          <w:sz w:val="22"/>
          <w:szCs w:val="22"/>
        </w:rPr>
        <w:t>EPS,</w:t>
      </w:r>
      <w:r w:rsidRPr="00DC7091">
        <w:rPr>
          <w:rFonts w:ascii="Arial" w:hAnsi="Arial" w:cs="Arial"/>
          <w:sz w:val="22"/>
          <w:szCs w:val="22"/>
        </w:rPr>
        <w:t xml:space="preserve"> </w:t>
      </w:r>
      <w:r w:rsidR="0055284B" w:rsidRPr="00DC7091">
        <w:rPr>
          <w:rFonts w:ascii="Arial" w:hAnsi="Arial" w:cs="Arial"/>
          <w:sz w:val="22"/>
          <w:szCs w:val="22"/>
        </w:rPr>
        <w:t>suggest</w:t>
      </w:r>
      <w:r w:rsidRPr="00DC7091">
        <w:rPr>
          <w:rFonts w:ascii="Arial" w:hAnsi="Arial" w:cs="Arial"/>
          <w:sz w:val="22"/>
          <w:szCs w:val="22"/>
        </w:rPr>
        <w:t xml:space="preserve"> the best financial plan and also find the Market price of the share in each plan.</w:t>
      </w:r>
    </w:p>
    <w:p w14:paraId="73E20A95" w14:textId="77777777" w:rsidR="00B54104" w:rsidRPr="00DC7091" w:rsidRDefault="00B54104" w:rsidP="00B54104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3921B82" w14:textId="77777777" w:rsidR="00766973" w:rsidRPr="009679C4" w:rsidRDefault="00766973" w:rsidP="00DC7091">
      <w:pPr>
        <w:spacing w:after="0" w:line="259" w:lineRule="auto"/>
        <w:rPr>
          <w:rFonts w:ascii="Arial" w:eastAsia="Arial" w:hAnsi="Arial" w:cs="Arial"/>
          <w:b/>
        </w:rPr>
      </w:pPr>
    </w:p>
    <w:p w14:paraId="573631A0" w14:textId="77777777" w:rsidR="00766973" w:rsidRDefault="00766973" w:rsidP="0076697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6F496E" w14:textId="77777777" w:rsidR="00766973" w:rsidRPr="009679C4" w:rsidRDefault="00766973" w:rsidP="00892A9E">
      <w:pPr>
        <w:pStyle w:val="Default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9679C4">
        <w:rPr>
          <w:rFonts w:ascii="Arial" w:hAnsi="Arial" w:cs="Arial"/>
          <w:b/>
          <w:bCs/>
          <w:sz w:val="22"/>
          <w:szCs w:val="22"/>
        </w:rPr>
        <w:t>PART- D</w:t>
      </w:r>
    </w:p>
    <w:p w14:paraId="3160ECA2" w14:textId="77777777" w:rsidR="00766973" w:rsidRPr="009679C4" w:rsidRDefault="00766973" w:rsidP="00766973">
      <w:pPr>
        <w:pStyle w:val="Default"/>
        <w:rPr>
          <w:rFonts w:ascii="Arial" w:hAnsi="Arial" w:cs="Arial"/>
          <w:sz w:val="22"/>
          <w:szCs w:val="22"/>
        </w:rPr>
      </w:pPr>
    </w:p>
    <w:p w14:paraId="6E62DD70" w14:textId="77777777" w:rsidR="00766973" w:rsidRPr="00342608" w:rsidRDefault="00766973" w:rsidP="00873A8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679C4">
        <w:rPr>
          <w:rFonts w:ascii="Arial" w:hAnsi="Arial" w:cs="Arial"/>
          <w:sz w:val="22"/>
          <w:szCs w:val="22"/>
        </w:rPr>
        <w:t xml:space="preserve"> Answer the following. The question carries 15 marks. </w:t>
      </w:r>
      <w:r w:rsidR="005C2CD6">
        <w:rPr>
          <w:rFonts w:ascii="Arial" w:hAnsi="Arial" w:cs="Arial"/>
          <w:sz w:val="22"/>
          <w:szCs w:val="22"/>
        </w:rPr>
        <w:tab/>
      </w:r>
      <w:r w:rsidR="005C2CD6">
        <w:rPr>
          <w:rFonts w:ascii="Arial" w:hAnsi="Arial" w:cs="Arial"/>
          <w:sz w:val="22"/>
          <w:szCs w:val="22"/>
        </w:rPr>
        <w:tab/>
      </w:r>
      <w:r w:rsidR="005C2CD6">
        <w:rPr>
          <w:rFonts w:ascii="Arial" w:hAnsi="Arial" w:cs="Arial"/>
          <w:sz w:val="22"/>
          <w:szCs w:val="22"/>
        </w:rPr>
        <w:tab/>
      </w:r>
      <w:r w:rsidR="005C2CD6">
        <w:rPr>
          <w:rFonts w:ascii="Arial" w:hAnsi="Arial" w:cs="Arial"/>
          <w:sz w:val="22"/>
          <w:szCs w:val="22"/>
        </w:rPr>
        <w:tab/>
      </w:r>
      <w:r w:rsidRPr="00342608">
        <w:rPr>
          <w:rFonts w:ascii="Arial" w:hAnsi="Arial" w:cs="Arial"/>
          <w:b/>
          <w:bCs/>
          <w:sz w:val="22"/>
          <w:szCs w:val="22"/>
        </w:rPr>
        <w:t>(1</w:t>
      </w:r>
      <w:r w:rsidR="005C2CD6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X</w:t>
      </w:r>
      <w:r w:rsidR="005C2CD6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15</w:t>
      </w:r>
      <w:r w:rsidR="005C2CD6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>=</w:t>
      </w:r>
      <w:r w:rsidR="005C2CD6" w:rsidRPr="00342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608">
        <w:rPr>
          <w:rFonts w:ascii="Arial" w:hAnsi="Arial" w:cs="Arial"/>
          <w:b/>
          <w:bCs/>
          <w:sz w:val="22"/>
          <w:szCs w:val="22"/>
        </w:rPr>
        <w:t xml:space="preserve">15) </w:t>
      </w:r>
    </w:p>
    <w:p w14:paraId="61D602AD" w14:textId="77777777" w:rsidR="00766973" w:rsidRPr="009679C4" w:rsidRDefault="00766973" w:rsidP="00766973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51690910" w14:textId="15834139" w:rsidR="001D0007" w:rsidRPr="001D0007" w:rsidRDefault="0055284B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As a financial analyst of a large electronics company, you are required to determine the </w:t>
      </w:r>
      <w:r w:rsidR="00C239E4" w:rsidRPr="001D0007">
        <w:rPr>
          <w:rFonts w:ascii="ff2" w:eastAsia="Times New Roman" w:hAnsi="ff2" w:cs="Times New Roman"/>
          <w:color w:val="000000"/>
          <w:sz w:val="70"/>
          <w:szCs w:val="70"/>
        </w:rPr>
        <w:t>weighted.</w:t>
      </w:r>
      <w:r w:rsidR="001D0007"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458D943D" w14:textId="5D0017DF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>average cost of capital of the company using (</w:t>
      </w:r>
      <w:r w:rsidR="0055284B" w:rsidRPr="001D0007">
        <w:rPr>
          <w:rFonts w:ascii="ff2" w:eastAsia="Times New Roman" w:hAnsi="ff2" w:cs="Times New Roman"/>
          <w:color w:val="000000"/>
          <w:sz w:val="70"/>
          <w:szCs w:val="70"/>
        </w:rPr>
        <w:t>I</w:t>
      </w: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) book value weights and (ii) market value weights. The </w:t>
      </w:r>
    </w:p>
    <w:p w14:paraId="637CB170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following information is available for your perusal: </w:t>
      </w:r>
    </w:p>
    <w:p w14:paraId="41B00841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1939750A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0"/>
          <w:szCs w:val="70"/>
        </w:rPr>
      </w:pPr>
      <w:r w:rsidRPr="001D0007">
        <w:rPr>
          <w:rFonts w:ascii="ff3" w:eastAsia="Times New Roman" w:hAnsi="ff3" w:cs="Times New Roman"/>
          <w:color w:val="000000"/>
          <w:sz w:val="70"/>
          <w:szCs w:val="70"/>
        </w:rPr>
        <w:t xml:space="preserve">The company’s </w:t>
      </w:r>
    </w:p>
    <w:p w14:paraId="4C4BC8CA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0"/>
          <w:szCs w:val="70"/>
        </w:rPr>
      </w:pPr>
      <w:r w:rsidRPr="001D0007">
        <w:rPr>
          <w:rFonts w:ascii="ff3" w:eastAsia="Times New Roman" w:hAnsi="ff3" w:cs="Times New Roman"/>
          <w:color w:val="000000"/>
          <w:sz w:val="70"/>
          <w:szCs w:val="70"/>
        </w:rPr>
        <w:t>present book value capital</w:t>
      </w:r>
    </w:p>
    <w:p w14:paraId="1262C427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0"/>
          <w:szCs w:val="70"/>
        </w:rPr>
      </w:pPr>
      <w:r w:rsidRPr="001D0007">
        <w:rPr>
          <w:rFonts w:ascii="ff3" w:eastAsia="Times New Roman" w:hAnsi="ff3" w:cs="Times New Roman"/>
          <w:color w:val="000000"/>
          <w:sz w:val="70"/>
          <w:szCs w:val="70"/>
        </w:rPr>
        <w:t xml:space="preserve"> </w:t>
      </w:r>
    </w:p>
    <w:p w14:paraId="720BCCAE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0"/>
          <w:szCs w:val="70"/>
        </w:rPr>
      </w:pPr>
      <w:r w:rsidRPr="001D0007">
        <w:rPr>
          <w:rFonts w:ascii="ff3" w:eastAsia="Times New Roman" w:hAnsi="ff3" w:cs="Times New Roman"/>
          <w:color w:val="000000"/>
          <w:sz w:val="70"/>
          <w:szCs w:val="70"/>
        </w:rPr>
        <w:t>structure is:</w:t>
      </w:r>
    </w:p>
    <w:p w14:paraId="49B8181C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0"/>
          <w:szCs w:val="70"/>
        </w:rPr>
      </w:pPr>
      <w:r w:rsidRPr="001D0007">
        <w:rPr>
          <w:rFonts w:ascii="ff3" w:eastAsia="Times New Roman" w:hAnsi="ff3" w:cs="Times New Roman"/>
          <w:color w:val="000000"/>
          <w:sz w:val="70"/>
          <w:szCs w:val="70"/>
        </w:rPr>
        <w:t xml:space="preserve"> </w:t>
      </w:r>
    </w:p>
    <w:p w14:paraId="3681CF67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0"/>
          <w:szCs w:val="70"/>
        </w:rPr>
      </w:pPr>
      <w:r w:rsidRPr="001D0007">
        <w:rPr>
          <w:rFonts w:ascii="ff3" w:eastAsia="Times New Roman" w:hAnsi="ff3" w:cs="Times New Roman"/>
          <w:color w:val="000000"/>
          <w:sz w:val="70"/>
          <w:szCs w:val="70"/>
        </w:rPr>
        <w:t>Rs.</w:t>
      </w:r>
    </w:p>
    <w:p w14:paraId="2CFE651B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0"/>
          <w:szCs w:val="70"/>
        </w:rPr>
      </w:pPr>
      <w:r w:rsidRPr="001D0007">
        <w:rPr>
          <w:rFonts w:ascii="ff3" w:eastAsia="Times New Roman" w:hAnsi="ff3" w:cs="Times New Roman"/>
          <w:color w:val="000000"/>
          <w:sz w:val="70"/>
          <w:szCs w:val="70"/>
        </w:rPr>
        <w:t xml:space="preserve"> </w:t>
      </w:r>
    </w:p>
    <w:p w14:paraId="3679899C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>Preference shares (Rs. 100 per share)</w:t>
      </w:r>
    </w:p>
    <w:p w14:paraId="6FA1067A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0F826A3D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>2,00,000</w:t>
      </w:r>
    </w:p>
    <w:p w14:paraId="193259A3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3BA593E3" w14:textId="1CB8EAFA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Equity shares (Rs. 10 per </w:t>
      </w:r>
      <w:r w:rsidR="0055284B" w:rsidRPr="001D0007">
        <w:rPr>
          <w:rFonts w:ascii="ff2" w:eastAsia="Times New Roman" w:hAnsi="ff2" w:cs="Times New Roman"/>
          <w:color w:val="000000"/>
          <w:sz w:val="70"/>
          <w:szCs w:val="70"/>
        </w:rPr>
        <w:t>share) 10</w:t>
      </w:r>
      <w:r w:rsidRPr="001D0007">
        <w:rPr>
          <w:rFonts w:ascii="ff2" w:eastAsia="Times New Roman" w:hAnsi="ff2" w:cs="Times New Roman"/>
          <w:color w:val="000000"/>
          <w:sz w:val="70"/>
          <w:szCs w:val="70"/>
        </w:rPr>
        <w:t>,00,000</w:t>
      </w:r>
    </w:p>
    <w:p w14:paraId="5A2744DA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2F8953C9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>Debentures (Rs. 100 per debenture)</w:t>
      </w:r>
    </w:p>
    <w:p w14:paraId="426011C6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7A96A4E7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>8,00,000</w:t>
      </w:r>
    </w:p>
    <w:p w14:paraId="0041392B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613AD4DA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 </w:t>
      </w:r>
    </w:p>
    <w:p w14:paraId="29048BCF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All these securities are traded in the capital market. Recent prices are: </w:t>
      </w:r>
    </w:p>
    <w:p w14:paraId="2E74598B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Debentures @ Rs. 110 per debenture </w:t>
      </w:r>
    </w:p>
    <w:p w14:paraId="409BFF11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Preference shares @ Rs. 120 per share </w:t>
      </w:r>
    </w:p>
    <w:p w14:paraId="3B94F349" w14:textId="77777777" w:rsidR="001D0007" w:rsidRPr="001D0007" w:rsidRDefault="001D0007" w:rsidP="001D0007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</w:rPr>
        <w:t xml:space="preserve">Equity shares @ Rs. 22 per share </w:t>
      </w:r>
    </w:p>
    <w:p w14:paraId="59E568AD" w14:textId="40D5819D" w:rsidR="001D0007" w:rsidRPr="00D10727" w:rsidRDefault="00D10727" w:rsidP="00D10727">
      <w:pPr>
        <w:ind w:left="360"/>
        <w:rPr>
          <w:rFonts w:ascii="Arial" w:eastAsia="Times New Roman" w:hAnsi="Arial" w:cs="Arial"/>
          <w:lang w:eastAsia="en-GB"/>
        </w:rPr>
      </w:pPr>
      <w:r w:rsidRPr="00D10727">
        <w:rPr>
          <w:rFonts w:ascii="Arial" w:eastAsia="Times New Roman" w:hAnsi="Arial" w:cs="Arial"/>
          <w:lang w:eastAsia="en-GB"/>
        </w:rPr>
        <w:t>13.</w:t>
      </w:r>
      <w:r w:rsidR="0055284B" w:rsidRPr="00D10727">
        <w:rPr>
          <w:rFonts w:ascii="Arial" w:eastAsia="Times New Roman" w:hAnsi="Arial" w:cs="Arial"/>
          <w:lang w:eastAsia="en-GB"/>
        </w:rPr>
        <w:t>As a financial analyst of a large electronics company, you are required to determine the weighted</w:t>
      </w:r>
      <w:r w:rsidR="001D0007" w:rsidRPr="00D10727">
        <w:rPr>
          <w:rFonts w:ascii="Arial" w:eastAsia="Times New Roman" w:hAnsi="Arial" w:cs="Arial"/>
          <w:lang w:eastAsia="en-GB"/>
        </w:rPr>
        <w:t xml:space="preserve"> average cost of capital of the company using (i) book value weights and (ii) market value weights. The following information is available for your perusal:  </w:t>
      </w:r>
    </w:p>
    <w:p w14:paraId="7D135D3B" w14:textId="77777777" w:rsidR="001D0007" w:rsidRDefault="001D0007" w:rsidP="001D0007">
      <w:pPr>
        <w:pStyle w:val="ListParagraph"/>
        <w:rPr>
          <w:rFonts w:ascii="Arial" w:eastAsia="Times New Roman" w:hAnsi="Arial" w:cs="Arial"/>
          <w:lang w:val="en" w:eastAsia="en-GB"/>
        </w:rPr>
      </w:pPr>
      <w:r w:rsidRPr="001D0007">
        <w:rPr>
          <w:rFonts w:ascii="Arial" w:eastAsia="Times New Roman" w:hAnsi="Arial" w:cs="Arial"/>
          <w:lang w:val="en" w:eastAsia="en-GB"/>
        </w:rPr>
        <w:t xml:space="preserve">The company’s present book value capital structure is: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834"/>
      </w:tblGrid>
      <w:tr w:rsidR="00D10727" w14:paraId="4275EDA7" w14:textId="77777777" w:rsidTr="00D10727">
        <w:tc>
          <w:tcPr>
            <w:tcW w:w="5796" w:type="dxa"/>
          </w:tcPr>
          <w:p w14:paraId="1EFA6B28" w14:textId="6B68EC7E" w:rsidR="00D10727" w:rsidRDefault="00D10727" w:rsidP="00D10727">
            <w:pPr>
              <w:pStyle w:val="ListParagraph"/>
              <w:ind w:left="0"/>
              <w:rPr>
                <w:rFonts w:ascii="Arial" w:eastAsia="Times New Roman" w:hAnsi="Arial" w:cs="Arial"/>
                <w:lang w:val="en" w:eastAsia="en-GB"/>
              </w:rPr>
            </w:pPr>
            <w:r w:rsidRPr="001D0007">
              <w:rPr>
                <w:rFonts w:ascii="Arial" w:eastAsia="Times New Roman" w:hAnsi="Arial" w:cs="Arial"/>
                <w:lang w:val="en" w:eastAsia="en-GB"/>
              </w:rPr>
              <w:t>Preference shares (Rs. 100 per share)</w:t>
            </w:r>
          </w:p>
        </w:tc>
        <w:tc>
          <w:tcPr>
            <w:tcW w:w="2834" w:type="dxa"/>
          </w:tcPr>
          <w:p w14:paraId="07EDA23F" w14:textId="1C1CAF4F" w:rsidR="00D10727" w:rsidRDefault="00D10727" w:rsidP="001D0007">
            <w:pPr>
              <w:pStyle w:val="ListParagraph"/>
              <w:ind w:left="0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2</w:t>
            </w:r>
            <w:r w:rsidR="00CF6855">
              <w:rPr>
                <w:rFonts w:ascii="Arial" w:eastAsia="Times New Roman" w:hAnsi="Arial" w:cs="Arial"/>
                <w:lang w:val="en" w:eastAsia="en-GB"/>
              </w:rPr>
              <w:t>,</w:t>
            </w:r>
            <w:r>
              <w:rPr>
                <w:rFonts w:ascii="Arial" w:eastAsia="Times New Roman" w:hAnsi="Arial" w:cs="Arial"/>
                <w:lang w:val="en" w:eastAsia="en-GB"/>
              </w:rPr>
              <w:t>00</w:t>
            </w:r>
            <w:r w:rsidR="00CF6855">
              <w:rPr>
                <w:rFonts w:ascii="Arial" w:eastAsia="Times New Roman" w:hAnsi="Arial" w:cs="Arial"/>
                <w:lang w:val="en" w:eastAsia="en-GB"/>
              </w:rPr>
              <w:t>,</w:t>
            </w:r>
            <w:r>
              <w:rPr>
                <w:rFonts w:ascii="Arial" w:eastAsia="Times New Roman" w:hAnsi="Arial" w:cs="Arial"/>
                <w:lang w:val="en" w:eastAsia="en-GB"/>
              </w:rPr>
              <w:t>000</w:t>
            </w:r>
          </w:p>
        </w:tc>
      </w:tr>
      <w:tr w:rsidR="00D10727" w14:paraId="7460FE32" w14:textId="77777777" w:rsidTr="00D10727">
        <w:tc>
          <w:tcPr>
            <w:tcW w:w="5796" w:type="dxa"/>
          </w:tcPr>
          <w:p w14:paraId="412B044C" w14:textId="0A204A66" w:rsidR="00D10727" w:rsidRDefault="00D10727" w:rsidP="001D0007">
            <w:pPr>
              <w:pStyle w:val="ListParagraph"/>
              <w:ind w:left="0"/>
              <w:rPr>
                <w:rFonts w:ascii="Arial" w:eastAsia="Times New Roman" w:hAnsi="Arial" w:cs="Arial"/>
                <w:lang w:val="en" w:eastAsia="en-GB"/>
              </w:rPr>
            </w:pPr>
            <w:r w:rsidRPr="001D0007">
              <w:rPr>
                <w:rFonts w:ascii="Arial" w:eastAsia="Times New Roman" w:hAnsi="Arial" w:cs="Arial"/>
                <w:lang w:val="en" w:eastAsia="en-GB"/>
              </w:rPr>
              <w:t xml:space="preserve">Equity shares (Rs. 10 per share)  </w:t>
            </w:r>
          </w:p>
        </w:tc>
        <w:tc>
          <w:tcPr>
            <w:tcW w:w="2834" w:type="dxa"/>
          </w:tcPr>
          <w:p w14:paraId="2A50AF47" w14:textId="6D1480C3" w:rsidR="00D10727" w:rsidRDefault="00D10727" w:rsidP="001D0007">
            <w:pPr>
              <w:pStyle w:val="ListParagraph"/>
              <w:ind w:left="0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10</w:t>
            </w:r>
            <w:r w:rsidR="00CF6855">
              <w:rPr>
                <w:rFonts w:ascii="Arial" w:eastAsia="Times New Roman" w:hAnsi="Arial" w:cs="Arial"/>
                <w:lang w:val="en" w:eastAsia="en-GB"/>
              </w:rPr>
              <w:t>,</w:t>
            </w:r>
            <w:r>
              <w:rPr>
                <w:rFonts w:ascii="Arial" w:eastAsia="Times New Roman" w:hAnsi="Arial" w:cs="Arial"/>
                <w:lang w:val="en" w:eastAsia="en-GB"/>
              </w:rPr>
              <w:t>00</w:t>
            </w:r>
            <w:r w:rsidR="00CF6855">
              <w:rPr>
                <w:rFonts w:ascii="Arial" w:eastAsia="Times New Roman" w:hAnsi="Arial" w:cs="Arial"/>
                <w:lang w:val="en" w:eastAsia="en-GB"/>
              </w:rPr>
              <w:t>,</w:t>
            </w:r>
            <w:r>
              <w:rPr>
                <w:rFonts w:ascii="Arial" w:eastAsia="Times New Roman" w:hAnsi="Arial" w:cs="Arial"/>
                <w:lang w:val="en" w:eastAsia="en-GB"/>
              </w:rPr>
              <w:t>000</w:t>
            </w:r>
          </w:p>
        </w:tc>
      </w:tr>
      <w:tr w:rsidR="00D10727" w14:paraId="13420CE3" w14:textId="77777777" w:rsidTr="00D10727">
        <w:tc>
          <w:tcPr>
            <w:tcW w:w="5796" w:type="dxa"/>
          </w:tcPr>
          <w:p w14:paraId="4804C856" w14:textId="1AA64B6D" w:rsidR="00D10727" w:rsidRDefault="00D10727" w:rsidP="001D0007">
            <w:pPr>
              <w:pStyle w:val="ListParagraph"/>
              <w:ind w:left="0"/>
              <w:rPr>
                <w:rFonts w:ascii="Arial" w:eastAsia="Times New Roman" w:hAnsi="Arial" w:cs="Arial"/>
                <w:lang w:val="en" w:eastAsia="en-GB"/>
              </w:rPr>
            </w:pPr>
            <w:r w:rsidRPr="001D0007">
              <w:rPr>
                <w:rFonts w:ascii="Arial" w:eastAsia="Times New Roman" w:hAnsi="Arial" w:cs="Arial"/>
                <w:lang w:val="en" w:eastAsia="en-GB"/>
              </w:rPr>
              <w:t xml:space="preserve"> Debentures (Rs. 100 per debenture)</w:t>
            </w:r>
          </w:p>
        </w:tc>
        <w:tc>
          <w:tcPr>
            <w:tcW w:w="2834" w:type="dxa"/>
          </w:tcPr>
          <w:p w14:paraId="7A8674F6" w14:textId="01323DB0" w:rsidR="00D10727" w:rsidRDefault="00D10727" w:rsidP="001D0007">
            <w:pPr>
              <w:pStyle w:val="ListParagraph"/>
              <w:ind w:left="0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8</w:t>
            </w:r>
            <w:r w:rsidR="00CF6855">
              <w:rPr>
                <w:rFonts w:ascii="Arial" w:eastAsia="Times New Roman" w:hAnsi="Arial" w:cs="Arial"/>
                <w:lang w:val="en" w:eastAsia="en-GB"/>
              </w:rPr>
              <w:t>,</w:t>
            </w:r>
            <w:r>
              <w:rPr>
                <w:rFonts w:ascii="Arial" w:eastAsia="Times New Roman" w:hAnsi="Arial" w:cs="Arial"/>
                <w:lang w:val="en" w:eastAsia="en-GB"/>
              </w:rPr>
              <w:t>00</w:t>
            </w:r>
            <w:r w:rsidR="00CF6855">
              <w:rPr>
                <w:rFonts w:ascii="Arial" w:eastAsia="Times New Roman" w:hAnsi="Arial" w:cs="Arial"/>
                <w:lang w:val="en" w:eastAsia="en-GB"/>
              </w:rPr>
              <w:t>,</w:t>
            </w:r>
            <w:r>
              <w:rPr>
                <w:rFonts w:ascii="Arial" w:eastAsia="Times New Roman" w:hAnsi="Arial" w:cs="Arial"/>
                <w:lang w:val="en" w:eastAsia="en-GB"/>
              </w:rPr>
              <w:t>000</w:t>
            </w:r>
          </w:p>
        </w:tc>
      </w:tr>
    </w:tbl>
    <w:p w14:paraId="2876E0B6" w14:textId="6E71B47D" w:rsidR="00D10727" w:rsidRPr="00CF6855" w:rsidRDefault="00D10727" w:rsidP="00CF6855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</w:t>
      </w:r>
    </w:p>
    <w:p w14:paraId="11FE5AC1" w14:textId="0D00FFC0" w:rsidR="00D10727" w:rsidRPr="00CF6855" w:rsidRDefault="00D10727" w:rsidP="00D1072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val="en" w:eastAsia="en-GB"/>
        </w:rPr>
      </w:pPr>
      <w:r w:rsidRPr="00CF6855">
        <w:rPr>
          <w:rFonts w:ascii="Arial" w:eastAsia="Times New Roman" w:hAnsi="Arial" w:cs="Arial"/>
          <w:lang w:val="en" w:eastAsia="en-GB"/>
        </w:rPr>
        <w:t>Rs. 100 per debenture redeemable at par; 10 year-maturity, 13% coupon rate, 4% flotation costs</w:t>
      </w:r>
      <w:r w:rsidR="00CF6855" w:rsidRPr="00CF6855">
        <w:rPr>
          <w:rFonts w:ascii="Arial" w:eastAsia="Times New Roman" w:hAnsi="Arial" w:cs="Arial"/>
          <w:lang w:val="en" w:eastAsia="en-GB"/>
        </w:rPr>
        <w:t>.</w:t>
      </w:r>
    </w:p>
    <w:p w14:paraId="3A9B2F9A" w14:textId="683E3BC9" w:rsidR="00D10727" w:rsidRDefault="00D10727" w:rsidP="00D1072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val="en" w:eastAsia="en-GB"/>
        </w:rPr>
      </w:pPr>
      <w:r w:rsidRPr="001D0007">
        <w:rPr>
          <w:rFonts w:ascii="Arial" w:eastAsia="Times New Roman" w:hAnsi="Arial" w:cs="Arial"/>
          <w:lang w:val="en" w:eastAsia="en-GB"/>
        </w:rPr>
        <w:t xml:space="preserve"> Rs. </w:t>
      </w:r>
      <w:r w:rsidR="00C239E4" w:rsidRPr="001D0007">
        <w:rPr>
          <w:rFonts w:ascii="Arial" w:eastAsia="Times New Roman" w:hAnsi="Arial" w:cs="Arial"/>
          <w:lang w:val="en" w:eastAsia="en-GB"/>
        </w:rPr>
        <w:t xml:space="preserve">100 </w:t>
      </w:r>
      <w:r w:rsidR="00C239E4">
        <w:rPr>
          <w:rFonts w:ascii="Arial" w:eastAsia="Times New Roman" w:hAnsi="Arial" w:cs="Arial"/>
          <w:lang w:val="en" w:eastAsia="en-GB"/>
        </w:rPr>
        <w:t>per</w:t>
      </w:r>
      <w:r w:rsidR="0078147A">
        <w:rPr>
          <w:rFonts w:ascii="Arial" w:eastAsia="Times New Roman" w:hAnsi="Arial" w:cs="Arial"/>
          <w:lang w:val="en" w:eastAsia="en-GB"/>
        </w:rPr>
        <w:t xml:space="preserve"> </w:t>
      </w:r>
      <w:r w:rsidR="0055284B" w:rsidRPr="001D0007">
        <w:rPr>
          <w:rFonts w:ascii="Arial" w:eastAsia="Times New Roman" w:hAnsi="Arial" w:cs="Arial"/>
          <w:lang w:val="en" w:eastAsia="en-GB"/>
        </w:rPr>
        <w:t>preference</w:t>
      </w:r>
      <w:r w:rsidRPr="001D0007">
        <w:rPr>
          <w:rFonts w:ascii="Arial" w:eastAsia="Times New Roman" w:hAnsi="Arial" w:cs="Arial"/>
          <w:lang w:val="en" w:eastAsia="en-GB"/>
        </w:rPr>
        <w:t xml:space="preserve"> share redeemable at par; 10 year-maturity, 14% dividend rate, 5% flotation costs. </w:t>
      </w:r>
    </w:p>
    <w:p w14:paraId="3707326C" w14:textId="2F6AC761" w:rsidR="001D0007" w:rsidRDefault="00D10727" w:rsidP="00D1072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val="en" w:eastAsia="en-GB"/>
        </w:rPr>
      </w:pPr>
      <w:r w:rsidRPr="001D0007">
        <w:rPr>
          <w:rFonts w:ascii="Arial" w:eastAsia="Times New Roman" w:hAnsi="Arial" w:cs="Arial"/>
          <w:lang w:val="en" w:eastAsia="en-GB"/>
        </w:rPr>
        <w:t xml:space="preserve"> Equity </w:t>
      </w:r>
      <w:r w:rsidR="00C239E4" w:rsidRPr="001D0007">
        <w:rPr>
          <w:rFonts w:ascii="Arial" w:eastAsia="Times New Roman" w:hAnsi="Arial" w:cs="Arial"/>
          <w:lang w:val="en" w:eastAsia="en-GB"/>
        </w:rPr>
        <w:t>shares:</w:t>
      </w:r>
      <w:r w:rsidR="00C239E4">
        <w:rPr>
          <w:rFonts w:ascii="Arial" w:eastAsia="Times New Roman" w:hAnsi="Arial" w:cs="Arial"/>
          <w:lang w:val="en" w:eastAsia="en-GB"/>
        </w:rPr>
        <w:t xml:space="preserve"> The</w:t>
      </w:r>
      <w:r w:rsidR="00CF6855">
        <w:rPr>
          <w:rFonts w:ascii="Arial" w:eastAsia="Times New Roman" w:hAnsi="Arial" w:cs="Arial"/>
          <w:lang w:val="en" w:eastAsia="en-GB"/>
        </w:rPr>
        <w:t xml:space="preserve"> issue price before floatation cost is 22 and </w:t>
      </w:r>
      <w:r w:rsidRPr="001D0007">
        <w:rPr>
          <w:rFonts w:ascii="Arial" w:eastAsia="Times New Roman" w:hAnsi="Arial" w:cs="Arial"/>
          <w:lang w:val="en" w:eastAsia="en-GB"/>
        </w:rPr>
        <w:t xml:space="preserve"> Rs. 2 per share </w:t>
      </w:r>
      <w:r w:rsidR="00CF6855">
        <w:rPr>
          <w:rFonts w:ascii="Arial" w:eastAsia="Times New Roman" w:hAnsi="Arial" w:cs="Arial"/>
          <w:lang w:val="en" w:eastAsia="en-GB"/>
        </w:rPr>
        <w:t xml:space="preserve">is the </w:t>
      </w:r>
      <w:r w:rsidRPr="001D0007">
        <w:rPr>
          <w:rFonts w:ascii="Arial" w:eastAsia="Times New Roman" w:hAnsi="Arial" w:cs="Arial"/>
          <w:lang w:val="en" w:eastAsia="en-GB"/>
        </w:rPr>
        <w:t>flotation cost.  In addition, the dividend expected on the equity share at the end of the year is Rs. 2 and the</w:t>
      </w:r>
      <w:r w:rsidR="00FD400D">
        <w:rPr>
          <w:rFonts w:ascii="Arial" w:eastAsia="Times New Roman" w:hAnsi="Arial" w:cs="Arial"/>
          <w:lang w:val="en" w:eastAsia="en-GB"/>
        </w:rPr>
        <w:t xml:space="preserve"> dividends</w:t>
      </w:r>
      <w:r w:rsidRPr="001D0007">
        <w:rPr>
          <w:rFonts w:ascii="Arial" w:eastAsia="Times New Roman" w:hAnsi="Arial" w:cs="Arial"/>
          <w:lang w:val="en" w:eastAsia="en-GB"/>
        </w:rPr>
        <w:t xml:space="preserve"> are expected to </w:t>
      </w:r>
      <w:r w:rsidR="007A053F">
        <w:rPr>
          <w:rFonts w:ascii="Arial" w:eastAsia="Times New Roman" w:hAnsi="Arial" w:cs="Arial"/>
          <w:lang w:val="en" w:eastAsia="en-GB"/>
        </w:rPr>
        <w:t>grow</w:t>
      </w:r>
      <w:r w:rsidRPr="001D0007">
        <w:rPr>
          <w:rFonts w:ascii="Arial" w:eastAsia="Times New Roman" w:hAnsi="Arial" w:cs="Arial"/>
          <w:lang w:val="en" w:eastAsia="en-GB"/>
        </w:rPr>
        <w:t xml:space="preserve"> by 7% p.a.</w:t>
      </w:r>
    </w:p>
    <w:p w14:paraId="28786A9F" w14:textId="77777777" w:rsidR="00D10727" w:rsidRDefault="00D10727" w:rsidP="001D0007">
      <w:pPr>
        <w:pStyle w:val="ListParagraph"/>
        <w:rPr>
          <w:rFonts w:ascii="Arial" w:eastAsia="Times New Roman" w:hAnsi="Arial" w:cs="Arial"/>
          <w:lang w:val="en" w:eastAsia="en-GB"/>
        </w:rPr>
      </w:pPr>
    </w:p>
    <w:p w14:paraId="2920407D" w14:textId="0F0FB2C9" w:rsidR="005707AF" w:rsidRDefault="005707AF" w:rsidP="001D0007">
      <w:pPr>
        <w:pStyle w:val="ListParagrap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market prices of the securities are as follows.(Assume the costs of the securities remain the same as above)</w:t>
      </w:r>
    </w:p>
    <w:p w14:paraId="73A5A37D" w14:textId="77777777" w:rsidR="005707AF" w:rsidRDefault="005707AF" w:rsidP="001D0007">
      <w:pPr>
        <w:pStyle w:val="ListParagraph"/>
        <w:rPr>
          <w:rFonts w:ascii="Arial" w:eastAsia="Times New Roman" w:hAnsi="Arial" w:cs="Arial"/>
          <w:lang w:eastAsia="en-GB"/>
        </w:rPr>
      </w:pPr>
    </w:p>
    <w:p w14:paraId="5E55A844" w14:textId="77777777" w:rsidR="005707AF" w:rsidRPr="005707AF" w:rsidRDefault="001D0007" w:rsidP="005707A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val="en" w:eastAsia="en-GB"/>
        </w:rPr>
      </w:pPr>
      <w:r w:rsidRPr="005707AF">
        <w:rPr>
          <w:rFonts w:ascii="Arial" w:eastAsia="Times New Roman" w:hAnsi="Arial" w:cs="Arial"/>
          <w:lang w:val="en" w:eastAsia="en-GB"/>
        </w:rPr>
        <w:t>Debentures @ Rs. 110 per debenture</w:t>
      </w:r>
    </w:p>
    <w:p w14:paraId="07C327F4" w14:textId="7D5C810B" w:rsidR="005707AF" w:rsidRPr="005707AF" w:rsidRDefault="001D0007" w:rsidP="005707A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val="en" w:eastAsia="en-GB"/>
        </w:rPr>
      </w:pPr>
      <w:r w:rsidRPr="005707AF">
        <w:rPr>
          <w:rFonts w:ascii="Arial" w:eastAsia="Times New Roman" w:hAnsi="Arial" w:cs="Arial"/>
          <w:lang w:val="en" w:eastAsia="en-GB"/>
        </w:rPr>
        <w:t>Preference shares @ Rs. 120 per share</w:t>
      </w:r>
    </w:p>
    <w:p w14:paraId="6099C197" w14:textId="3EF65956" w:rsidR="00766973" w:rsidRDefault="001D0007" w:rsidP="005707A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val="en" w:eastAsia="en-GB"/>
        </w:rPr>
      </w:pPr>
      <w:r w:rsidRPr="005707AF">
        <w:rPr>
          <w:rFonts w:ascii="Arial" w:eastAsia="Times New Roman" w:hAnsi="Arial" w:cs="Arial"/>
          <w:lang w:val="en" w:eastAsia="en-GB"/>
        </w:rPr>
        <w:t>Equity shares @ Rs. 22 per share</w:t>
      </w:r>
    </w:p>
    <w:p w14:paraId="140F8DC5" w14:textId="77777777" w:rsidR="001D0007" w:rsidRDefault="001D0007" w:rsidP="001D0007">
      <w:pPr>
        <w:pStyle w:val="ListParagraph"/>
        <w:rPr>
          <w:rFonts w:ascii="Arial" w:eastAsia="Times New Roman" w:hAnsi="Arial" w:cs="Arial"/>
          <w:lang w:val="en" w:eastAsia="en-GB"/>
        </w:rPr>
      </w:pPr>
    </w:p>
    <w:p w14:paraId="6F3B26A9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Anticipated external financing opportunities are: </w:t>
      </w:r>
    </w:p>
    <w:p w14:paraId="4B4723FF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>i)</w:t>
      </w:r>
      <w:r w:rsidRPr="001D0007">
        <w:rPr>
          <w:rFonts w:ascii="ff5" w:eastAsia="Times New Roman" w:hAnsi="ff5" w:cs="Times New Roman"/>
          <w:color w:val="000000"/>
          <w:spacing w:val="424"/>
          <w:sz w:val="70"/>
          <w:szCs w:val="70"/>
          <w:lang w:val="en-IN"/>
        </w:rPr>
        <w:t xml:space="preserve"> </w:t>
      </w: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Rs. 100 per debenture redeemable at par; 10 year-maturity, 13% coupon rate, 4% flotation costs, sale </w:t>
      </w:r>
    </w:p>
    <w:p w14:paraId="033CB832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price Rs. 100. </w:t>
      </w:r>
    </w:p>
    <w:p w14:paraId="4B72FF60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>ii)</w:t>
      </w:r>
      <w:r w:rsidRPr="001D0007">
        <w:rPr>
          <w:rFonts w:ascii="ff5" w:eastAsia="Times New Roman" w:hAnsi="ff5" w:cs="Times New Roman"/>
          <w:color w:val="000000"/>
          <w:spacing w:val="237"/>
          <w:sz w:val="70"/>
          <w:szCs w:val="70"/>
          <w:lang w:val="en-IN"/>
        </w:rPr>
        <w:t xml:space="preserve"> </w:t>
      </w: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Rs. 100 preference share redeemable at par; 10 year-maturity, 14% dividend rate, 5% flotation costs, </w:t>
      </w:r>
    </w:p>
    <w:p w14:paraId="15BBDBF9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sale price Rs. 100. </w:t>
      </w:r>
    </w:p>
    <w:p w14:paraId="62F29E9F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>iii)</w:t>
      </w:r>
      <w:r w:rsidRPr="001D0007">
        <w:rPr>
          <w:rFonts w:ascii="ff5" w:eastAsia="Times New Roman" w:hAnsi="ff5" w:cs="Times New Roman"/>
          <w:color w:val="000000"/>
          <w:spacing w:val="50"/>
          <w:sz w:val="70"/>
          <w:szCs w:val="70"/>
          <w:lang w:val="en-IN"/>
        </w:rPr>
        <w:t xml:space="preserve"> </w:t>
      </w: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Equity shares: Rs. 2 per share flotation costs, sale price @ Rs. 22. </w:t>
      </w:r>
    </w:p>
    <w:p w14:paraId="10BC1853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 </w:t>
      </w:r>
    </w:p>
    <w:p w14:paraId="1AFDE479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In addition, the dividend expected on the equity share at the end of the year is Rs. 2 and the earnings are </w:t>
      </w:r>
    </w:p>
    <w:p w14:paraId="1932B1E7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 xml:space="preserve">expected to increase by 7% p.a. The firm has a policy of paying all its earnings in the form of dividends. </w:t>
      </w:r>
    </w:p>
    <w:p w14:paraId="48DFAA62" w14:textId="77777777" w:rsidR="001D0007" w:rsidRPr="001D0007" w:rsidRDefault="001D0007" w:rsidP="001D000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0"/>
          <w:szCs w:val="70"/>
          <w:lang w:val="en-IN"/>
        </w:rPr>
      </w:pPr>
      <w:r w:rsidRPr="001D0007">
        <w:rPr>
          <w:rFonts w:ascii="ff2" w:eastAsia="Times New Roman" w:hAnsi="ff2" w:cs="Times New Roman"/>
          <w:color w:val="000000"/>
          <w:sz w:val="70"/>
          <w:szCs w:val="70"/>
          <w:lang w:val="en-IN"/>
        </w:rPr>
        <w:t>The corporate tax rate is 50%.</w:t>
      </w:r>
    </w:p>
    <w:p w14:paraId="2E7FC6C5" w14:textId="3C5D0E7F" w:rsidR="001D0007" w:rsidRPr="001D0007" w:rsidRDefault="001D0007" w:rsidP="001D0007">
      <w:pPr>
        <w:pStyle w:val="ListParagraph"/>
        <w:rPr>
          <w:rFonts w:ascii="Arial" w:eastAsia="Times New Roman" w:hAnsi="Arial" w:cs="Arial"/>
          <w:lang w:val="en" w:eastAsia="en-GB"/>
        </w:rPr>
      </w:pPr>
      <w:r w:rsidRPr="001D0007">
        <w:rPr>
          <w:rFonts w:ascii="Arial" w:eastAsia="Times New Roman" w:hAnsi="Arial" w:cs="Arial"/>
          <w:lang w:val="en" w:eastAsia="en-GB"/>
        </w:rPr>
        <w:t xml:space="preserve"> The corporate tax rate is 50%.</w:t>
      </w:r>
    </w:p>
    <w:p w14:paraId="05A495C0" w14:textId="77777777" w:rsidR="00766973" w:rsidRDefault="00766973" w:rsidP="00766973">
      <w:pPr>
        <w:pStyle w:val="ListParagraph"/>
        <w:rPr>
          <w:rFonts w:ascii="Arial" w:eastAsia="Times New Roman" w:hAnsi="Arial" w:cs="Arial"/>
          <w:lang w:val="en" w:eastAsia="en-GB"/>
        </w:rPr>
      </w:pPr>
    </w:p>
    <w:p w14:paraId="16119CB4" w14:textId="77777777" w:rsidR="00766973" w:rsidRDefault="00766973" w:rsidP="00766973">
      <w:pPr>
        <w:pStyle w:val="ListParagraph"/>
        <w:pBdr>
          <w:bottom w:val="single" w:sz="12" w:space="1" w:color="auto"/>
        </w:pBdr>
        <w:rPr>
          <w:rFonts w:ascii="Arial" w:eastAsia="Times New Roman" w:hAnsi="Arial" w:cs="Arial"/>
          <w:lang w:val="en" w:eastAsia="en-GB"/>
        </w:rPr>
      </w:pPr>
    </w:p>
    <w:p w14:paraId="3CB5507A" w14:textId="77777777" w:rsidR="00766973" w:rsidRPr="009679C4" w:rsidRDefault="00766973" w:rsidP="00766973">
      <w:pPr>
        <w:pStyle w:val="ListParagraph"/>
        <w:rPr>
          <w:rFonts w:ascii="Arial" w:eastAsia="Times New Roman" w:hAnsi="Arial" w:cs="Arial"/>
          <w:lang w:eastAsia="en-GB"/>
        </w:rPr>
      </w:pPr>
    </w:p>
    <w:p w14:paraId="12DD1CCF" w14:textId="77777777" w:rsidR="00766973" w:rsidRDefault="00766973" w:rsidP="00766973">
      <w:pPr>
        <w:pStyle w:val="x-scope"/>
        <w:spacing w:before="0" w:beforeAutospacing="0" w:after="0" w:afterAutospacing="0"/>
        <w:ind w:left="720"/>
        <w:textAlignment w:val="baseline"/>
      </w:pPr>
    </w:p>
    <w:p w14:paraId="47A6E56D" w14:textId="77777777" w:rsidR="00766973" w:rsidRPr="00C46C5F" w:rsidRDefault="00766973" w:rsidP="00766973">
      <w:pPr>
        <w:pStyle w:val="ListParagraph"/>
        <w:spacing w:after="0"/>
        <w:rPr>
          <w:rFonts w:ascii="Arial" w:eastAsia="Arial" w:hAnsi="Arial" w:cs="Arial"/>
          <w:b/>
        </w:rPr>
      </w:pPr>
    </w:p>
    <w:p w14:paraId="68BC5139" w14:textId="77777777" w:rsidR="00766973" w:rsidRDefault="00766973" w:rsidP="0076697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B84F49D" w14:textId="77777777" w:rsidR="00403CDD" w:rsidRDefault="00403CDD" w:rsidP="00FA3FE6">
      <w:pPr>
        <w:spacing w:after="0" w:line="259" w:lineRule="auto"/>
        <w:rPr>
          <w:rFonts w:ascii="Arial" w:eastAsia="Arial" w:hAnsi="Arial" w:cs="Arial"/>
          <w:b/>
        </w:rPr>
      </w:pPr>
    </w:p>
    <w:p w14:paraId="3F7B7561" w14:textId="77777777" w:rsidR="0055284B" w:rsidRPr="0055284B" w:rsidRDefault="0055284B" w:rsidP="0055284B">
      <w:pPr>
        <w:rPr>
          <w:rFonts w:ascii="Arial" w:eastAsia="Arial" w:hAnsi="Arial" w:cs="Arial"/>
        </w:rPr>
      </w:pPr>
    </w:p>
    <w:p w14:paraId="4DAE3D4F" w14:textId="77777777" w:rsidR="0055284B" w:rsidRPr="0055284B" w:rsidRDefault="0055284B" w:rsidP="0055284B">
      <w:pPr>
        <w:rPr>
          <w:rFonts w:ascii="Arial" w:eastAsia="Arial" w:hAnsi="Arial" w:cs="Arial"/>
        </w:rPr>
      </w:pPr>
    </w:p>
    <w:p w14:paraId="3F10ABD3" w14:textId="77777777" w:rsidR="0055284B" w:rsidRPr="0055284B" w:rsidRDefault="0055284B" w:rsidP="0055284B">
      <w:pPr>
        <w:rPr>
          <w:rFonts w:ascii="Arial" w:eastAsia="Arial" w:hAnsi="Arial" w:cs="Arial"/>
        </w:rPr>
      </w:pPr>
    </w:p>
    <w:p w14:paraId="7C0D8733" w14:textId="77777777" w:rsidR="0055284B" w:rsidRDefault="0055284B" w:rsidP="0055284B">
      <w:pPr>
        <w:rPr>
          <w:rFonts w:ascii="Arial" w:eastAsia="Arial" w:hAnsi="Arial" w:cs="Arial"/>
          <w:b/>
        </w:rPr>
      </w:pPr>
    </w:p>
    <w:p w14:paraId="1E27EC3C" w14:textId="77777777" w:rsidR="0055284B" w:rsidRPr="0055284B" w:rsidRDefault="0055284B" w:rsidP="0055284B">
      <w:pPr>
        <w:jc w:val="right"/>
        <w:rPr>
          <w:rFonts w:ascii="Arial" w:eastAsia="Arial" w:hAnsi="Arial" w:cs="Arial"/>
        </w:rPr>
      </w:pPr>
    </w:p>
    <w:sectPr w:rsidR="0055284B" w:rsidRPr="0055284B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3A56" w14:textId="77777777" w:rsidR="00F52CF4" w:rsidRDefault="00F52CF4">
      <w:pPr>
        <w:spacing w:after="0" w:line="240" w:lineRule="auto"/>
      </w:pPr>
      <w:r>
        <w:separator/>
      </w:r>
    </w:p>
  </w:endnote>
  <w:endnote w:type="continuationSeparator" w:id="0">
    <w:p w14:paraId="508EAFFE" w14:textId="77777777" w:rsidR="00F52CF4" w:rsidRDefault="00F5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E617" w14:textId="243E2597" w:rsidR="00766973" w:rsidRDefault="00766973">
    <w:pPr>
      <w:jc w:val="right"/>
    </w:pPr>
    <w:r>
      <w:t>BC</w:t>
    </w:r>
    <w:r w:rsidR="0055284B">
      <w:t>4222</w:t>
    </w:r>
    <w:r>
      <w:t xml:space="preserve"> -</w:t>
    </w:r>
    <w:r w:rsidR="00F61931">
      <w:t>B</w:t>
    </w:r>
  </w:p>
  <w:p w14:paraId="68A1CD9B" w14:textId="77777777" w:rsidR="00403CDD" w:rsidRDefault="00930B3D">
    <w:pPr>
      <w:jc w:val="right"/>
    </w:pPr>
    <w:r>
      <w:fldChar w:fldCharType="begin"/>
    </w:r>
    <w:r>
      <w:instrText>PAGE</w:instrText>
    </w:r>
    <w:r>
      <w:fldChar w:fldCharType="separate"/>
    </w:r>
    <w:r w:rsidR="00906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4A80" w14:textId="77777777" w:rsidR="00403CDD" w:rsidRDefault="00930B3D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D170F" w14:textId="77777777" w:rsidR="00F52CF4" w:rsidRDefault="00F52CF4">
      <w:pPr>
        <w:spacing w:after="0" w:line="240" w:lineRule="auto"/>
      </w:pPr>
      <w:r>
        <w:separator/>
      </w:r>
    </w:p>
  </w:footnote>
  <w:footnote w:type="continuationSeparator" w:id="0">
    <w:p w14:paraId="2A6A1B0A" w14:textId="77777777" w:rsidR="00F52CF4" w:rsidRDefault="00F5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5DA9"/>
    <w:multiLevelType w:val="hybridMultilevel"/>
    <w:tmpl w:val="4642C3EA"/>
    <w:lvl w:ilvl="0" w:tplc="85F0A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F7E4D"/>
    <w:multiLevelType w:val="hybridMultilevel"/>
    <w:tmpl w:val="ADE268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C76DA"/>
    <w:multiLevelType w:val="multilevel"/>
    <w:tmpl w:val="AE405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205502"/>
    <w:multiLevelType w:val="hybridMultilevel"/>
    <w:tmpl w:val="4F06FBE8"/>
    <w:lvl w:ilvl="0" w:tplc="62CC87C0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DB3899"/>
    <w:multiLevelType w:val="hybridMultilevel"/>
    <w:tmpl w:val="5DBA3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35AC4"/>
    <w:multiLevelType w:val="hybridMultilevel"/>
    <w:tmpl w:val="62EA3C4E"/>
    <w:lvl w:ilvl="0" w:tplc="1A7A0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447A5"/>
    <w:multiLevelType w:val="hybridMultilevel"/>
    <w:tmpl w:val="EFA89C74"/>
    <w:lvl w:ilvl="0" w:tplc="16062FF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579791">
    <w:abstractNumId w:val="3"/>
  </w:num>
  <w:num w:numId="2" w16cid:durableId="141042897">
    <w:abstractNumId w:val="0"/>
  </w:num>
  <w:num w:numId="3" w16cid:durableId="798379757">
    <w:abstractNumId w:val="5"/>
  </w:num>
  <w:num w:numId="4" w16cid:durableId="2077389237">
    <w:abstractNumId w:val="6"/>
  </w:num>
  <w:num w:numId="5" w16cid:durableId="1782726654">
    <w:abstractNumId w:val="1"/>
  </w:num>
  <w:num w:numId="6" w16cid:durableId="104424051">
    <w:abstractNumId w:val="4"/>
  </w:num>
  <w:num w:numId="7" w16cid:durableId="527716293">
    <w:abstractNumId w:val="7"/>
  </w:num>
  <w:num w:numId="8" w16cid:durableId="480313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DD"/>
    <w:rsid w:val="0017005A"/>
    <w:rsid w:val="001D0007"/>
    <w:rsid w:val="001D0F1F"/>
    <w:rsid w:val="00332843"/>
    <w:rsid w:val="00342608"/>
    <w:rsid w:val="00403CDD"/>
    <w:rsid w:val="00454C44"/>
    <w:rsid w:val="0055284B"/>
    <w:rsid w:val="005667C5"/>
    <w:rsid w:val="005707AF"/>
    <w:rsid w:val="005C2CD6"/>
    <w:rsid w:val="00693AC5"/>
    <w:rsid w:val="006B5A08"/>
    <w:rsid w:val="00725193"/>
    <w:rsid w:val="00766973"/>
    <w:rsid w:val="0078147A"/>
    <w:rsid w:val="007A053F"/>
    <w:rsid w:val="00873A85"/>
    <w:rsid w:val="00892A9E"/>
    <w:rsid w:val="00906A4A"/>
    <w:rsid w:val="00930B3D"/>
    <w:rsid w:val="009361EE"/>
    <w:rsid w:val="009C1908"/>
    <w:rsid w:val="009E7502"/>
    <w:rsid w:val="00A27BA4"/>
    <w:rsid w:val="00A639BF"/>
    <w:rsid w:val="00A766B1"/>
    <w:rsid w:val="00B30A85"/>
    <w:rsid w:val="00B54104"/>
    <w:rsid w:val="00B71386"/>
    <w:rsid w:val="00BC243B"/>
    <w:rsid w:val="00C01259"/>
    <w:rsid w:val="00C239E4"/>
    <w:rsid w:val="00CB7A75"/>
    <w:rsid w:val="00CF6855"/>
    <w:rsid w:val="00D10727"/>
    <w:rsid w:val="00DC7091"/>
    <w:rsid w:val="00DE031C"/>
    <w:rsid w:val="00F32757"/>
    <w:rsid w:val="00F52CF4"/>
    <w:rsid w:val="00F61931"/>
    <w:rsid w:val="00FA3FE6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5C75"/>
  <w15:docId w15:val="{F631BFCA-5D0B-4FCA-B128-BA469698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69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customStyle="1" w:styleId="Default">
    <w:name w:val="Default"/>
    <w:rsid w:val="0076697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x-scope">
    <w:name w:val="x-scope"/>
    <w:basedOn w:val="Normal"/>
    <w:rsid w:val="0076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er">
    <w:name w:val="header"/>
    <w:basedOn w:val="Normal"/>
    <w:link w:val="HeaderChar"/>
    <w:uiPriority w:val="99"/>
    <w:unhideWhenUsed/>
    <w:rsid w:val="0076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973"/>
  </w:style>
  <w:style w:type="paragraph" w:styleId="Footer">
    <w:name w:val="footer"/>
    <w:basedOn w:val="Normal"/>
    <w:link w:val="FooterChar"/>
    <w:uiPriority w:val="99"/>
    <w:unhideWhenUsed/>
    <w:rsid w:val="0076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973"/>
  </w:style>
  <w:style w:type="table" w:styleId="TableGrid">
    <w:name w:val="Table Grid"/>
    <w:basedOn w:val="TableNormal"/>
    <w:uiPriority w:val="39"/>
    <w:rsid w:val="00B5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DefaultParagraphFont"/>
    <w:rsid w:val="001D0007"/>
  </w:style>
  <w:style w:type="character" w:customStyle="1" w:styleId="ff5">
    <w:name w:val="ff5"/>
    <w:basedOn w:val="DefaultParagraphFont"/>
    <w:rsid w:val="001D0007"/>
  </w:style>
  <w:style w:type="character" w:customStyle="1" w:styleId="ws2">
    <w:name w:val="ws2"/>
    <w:basedOn w:val="DefaultParagraphFont"/>
    <w:rsid w:val="001D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office</dc:creator>
  <cp:lastModifiedBy>SJU</cp:lastModifiedBy>
  <cp:revision>28</cp:revision>
  <dcterms:created xsi:type="dcterms:W3CDTF">2023-09-11T08:29:00Z</dcterms:created>
  <dcterms:modified xsi:type="dcterms:W3CDTF">2024-03-07T08:51:00Z</dcterms:modified>
</cp:coreProperties>
</file>