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E2" w:rsidRDefault="00D57831" w:rsidP="00B85F9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93.55pt;margin-top:-52pt;width:195.25pt;height:59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B85F94" w:rsidRDefault="00B85F94" w:rsidP="00B85F94">
                  <w:r>
                    <w:t>Register Number:</w:t>
                  </w:r>
                </w:p>
                <w:p w:rsidR="00B85F94" w:rsidRPr="00082DB6" w:rsidRDefault="00B85F94" w:rsidP="00B85F94">
                  <w:pPr>
                    <w:rPr>
                      <w:b/>
                      <w:sz w:val="40"/>
                      <w:szCs w:val="28"/>
                    </w:rPr>
                  </w:pPr>
                  <w:r w:rsidRPr="00082DB6">
                    <w:rPr>
                      <w:b/>
                      <w:sz w:val="34"/>
                    </w:rPr>
                    <w:t>DATE: 24-04-2019</w:t>
                  </w:r>
                </w:p>
              </w:txbxContent>
            </v:textbox>
          </v:shape>
        </w:pict>
      </w:r>
      <w:r w:rsidR="00EF3AE2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-321192</wp:posOffset>
            </wp:positionH>
            <wp:positionV relativeFrom="paragraph">
              <wp:posOffset>-350875</wp:posOffset>
            </wp:positionV>
            <wp:extent cx="1086736" cy="1031358"/>
            <wp:effectExtent l="19050" t="0" r="0" b="0"/>
            <wp:wrapNone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0313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6D59B2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</w:p>
    <w:p w:rsidR="00EF3AE2" w:rsidRDefault="00EF3AE2" w:rsidP="00E3268F">
      <w:pPr>
        <w:spacing w:line="240" w:lineRule="auto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2248"/>
        <w:gridCol w:w="260"/>
      </w:tblGrid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306CB5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B.COM-VI SEMESTER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</w:t>
            </w:r>
            <w:r w:rsidR="00F73D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MESTER EXAMINATION: APRIL 2019</w:t>
            </w:r>
          </w:p>
        </w:tc>
      </w:tr>
      <w:tr w:rsidR="00EF3AE2" w:rsidRPr="00EC3415" w:rsidTr="00FF37B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F73D24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</w:t>
            </w:r>
            <w:r w:rsidR="00711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CDEA 6616</w:t>
            </w:r>
            <w:r w:rsidR="00306C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– </w:t>
            </w:r>
            <w:r w:rsidR="00EF6B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5B6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Accounting for Business Decisions &amp; Reporting</w:t>
            </w:r>
            <w:bookmarkEnd w:id="0"/>
          </w:p>
        </w:tc>
      </w:tr>
      <w:tr w:rsidR="00EF3AE2" w:rsidRPr="00EC3415" w:rsidTr="00B85F94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B85F94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306CB5" w:rsidP="0096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Time- 2.5</w:t>
            </w:r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306CB5" w:rsidP="00FF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B85F94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contains 3 </w:t>
            </w:r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printed pages and four parts</w:t>
            </w:r>
          </w:p>
        </w:tc>
      </w:tr>
    </w:tbl>
    <w:p w:rsidR="00A94461" w:rsidRDefault="00C163C6" w:rsidP="00B85F94">
      <w:pPr>
        <w:rPr>
          <w:rFonts w:ascii="Arial" w:hAnsi="Arial" w:cs="Arial"/>
          <w:b/>
          <w:sz w:val="24"/>
          <w:szCs w:val="24"/>
          <w:u w:val="single"/>
        </w:rPr>
      </w:pP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="00A94461" w:rsidRPr="004E728C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A94461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A94461" w:rsidRPr="004E728C">
        <w:rPr>
          <w:rFonts w:ascii="Arial" w:hAnsi="Arial" w:cs="Arial"/>
          <w:b/>
          <w:sz w:val="24"/>
          <w:szCs w:val="24"/>
          <w:u w:val="single"/>
        </w:rPr>
        <w:t>A</w:t>
      </w:r>
    </w:p>
    <w:p w:rsidR="00FC13BE" w:rsidRPr="00A94461" w:rsidRDefault="00A94461" w:rsidP="00A94461">
      <w:pPr>
        <w:rPr>
          <w:rFonts w:ascii="Arial" w:hAnsi="Arial" w:cs="Arial"/>
          <w:b/>
          <w:sz w:val="24"/>
          <w:szCs w:val="24"/>
        </w:rPr>
      </w:pPr>
      <w:r w:rsidRPr="004E728C">
        <w:rPr>
          <w:rFonts w:ascii="Arial" w:hAnsi="Arial" w:cs="Arial"/>
          <w:b/>
          <w:sz w:val="24"/>
          <w:szCs w:val="24"/>
        </w:rPr>
        <w:t>Answer any five out of the following questions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5*2=10</w:t>
      </w:r>
    </w:p>
    <w:p w:rsidR="00DA34E3" w:rsidRPr="00FC13BE" w:rsidRDefault="00EF6B5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C13BE">
        <w:rPr>
          <w:rFonts w:ascii="Arial" w:hAnsi="Arial" w:cs="Arial"/>
        </w:rPr>
        <w:t>Define Marginal costing</w:t>
      </w:r>
    </w:p>
    <w:p w:rsidR="00DA34E3" w:rsidRPr="0015753D" w:rsidRDefault="00C30470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is period cost different from product cost</w:t>
      </w:r>
      <w:r w:rsidR="00EF6B5F">
        <w:rPr>
          <w:rFonts w:ascii="Arial" w:hAnsi="Arial" w:cs="Arial"/>
        </w:rPr>
        <w:t>?</w:t>
      </w:r>
    </w:p>
    <w:p w:rsidR="00A06D41" w:rsidRPr="0015753D" w:rsidRDefault="00EF6B5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standard costing?</w:t>
      </w:r>
    </w:p>
    <w:p w:rsidR="00A06D41" w:rsidRPr="0015753D" w:rsidRDefault="000904C8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 the meaning of Master budget</w:t>
      </w:r>
      <w:r w:rsidR="00EF6B5F">
        <w:rPr>
          <w:rFonts w:ascii="Arial" w:hAnsi="Arial" w:cs="Arial"/>
        </w:rPr>
        <w:t>.</w:t>
      </w:r>
    </w:p>
    <w:p w:rsidR="00A06D41" w:rsidRPr="0015753D" w:rsidRDefault="00EF6B5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causes of labour rate variances?</w:t>
      </w:r>
    </w:p>
    <w:p w:rsidR="00A06D41" w:rsidRPr="0015753D" w:rsidRDefault="00EF6B5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can P/V ratio be improved?</w:t>
      </w:r>
    </w:p>
    <w:p w:rsidR="00A06D41" w:rsidRPr="0015753D" w:rsidRDefault="00AD718D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What is </w:t>
      </w:r>
      <w:r w:rsidR="00EF6B5F">
        <w:rPr>
          <w:rFonts w:ascii="Arial" w:hAnsi="Arial" w:cs="Arial"/>
        </w:rPr>
        <w:t>relevant costing?</w:t>
      </w:r>
    </w:p>
    <w:p w:rsidR="00A94461" w:rsidRPr="00A94461" w:rsidRDefault="00A94461" w:rsidP="00A94461">
      <w:pPr>
        <w:pStyle w:val="ListParagraph"/>
        <w:ind w:left="90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4461">
        <w:rPr>
          <w:rFonts w:ascii="Arial" w:hAnsi="Arial" w:cs="Arial"/>
          <w:b/>
          <w:sz w:val="24"/>
          <w:szCs w:val="24"/>
          <w:u w:val="single"/>
        </w:rPr>
        <w:t>SECTION – B</w:t>
      </w:r>
    </w:p>
    <w:p w:rsidR="00A94461" w:rsidRPr="00A94461" w:rsidRDefault="00A94461" w:rsidP="00A94461">
      <w:pPr>
        <w:rPr>
          <w:rFonts w:ascii="Arial" w:hAnsi="Arial" w:cs="Arial"/>
          <w:b/>
          <w:sz w:val="24"/>
          <w:szCs w:val="24"/>
        </w:rPr>
      </w:pPr>
      <w:r w:rsidRPr="00A94461">
        <w:rPr>
          <w:rFonts w:ascii="Arial" w:hAnsi="Arial" w:cs="Arial"/>
          <w:b/>
          <w:sz w:val="24"/>
          <w:szCs w:val="24"/>
        </w:rPr>
        <w:t>Answer any three from the following questions                                           3*5=15</w:t>
      </w:r>
    </w:p>
    <w:p w:rsidR="00044272" w:rsidRPr="0015753D" w:rsidRDefault="00D90936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Bring out the differences (any five) between Absorption costing and Variable costing.</w:t>
      </w:r>
    </w:p>
    <w:p w:rsidR="004F76C9" w:rsidRDefault="0053479D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Calculate variable overhead variances from the following: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0"/>
        <w:gridCol w:w="2899"/>
        <w:gridCol w:w="2493"/>
      </w:tblGrid>
      <w:tr w:rsidR="00CC7313" w:rsidTr="00CC7313">
        <w:tc>
          <w:tcPr>
            <w:tcW w:w="3130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Budgeted</w:t>
            </w:r>
          </w:p>
        </w:tc>
        <w:tc>
          <w:tcPr>
            <w:tcW w:w="2493" w:type="dxa"/>
          </w:tcPr>
          <w:p w:rsidR="00CC7313" w:rsidRDefault="00CC7313" w:rsidP="00CC731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</w:t>
            </w:r>
          </w:p>
        </w:tc>
      </w:tr>
      <w:tr w:rsidR="00CC7313" w:rsidTr="00CC7313">
        <w:tc>
          <w:tcPr>
            <w:tcW w:w="3130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Output</w:t>
            </w:r>
          </w:p>
        </w:tc>
        <w:tc>
          <w:tcPr>
            <w:tcW w:w="2899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2493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19,000</w:t>
            </w:r>
          </w:p>
        </w:tc>
      </w:tr>
      <w:tr w:rsidR="00CC7313" w:rsidTr="00CC7313">
        <w:tc>
          <w:tcPr>
            <w:tcW w:w="3130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2899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2493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4,500</w:t>
            </w:r>
          </w:p>
        </w:tc>
      </w:tr>
      <w:tr w:rsidR="00CC7313" w:rsidTr="00CC7313">
        <w:tc>
          <w:tcPr>
            <w:tcW w:w="3130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Overhead-Fixed</w:t>
            </w:r>
          </w:p>
        </w:tc>
        <w:tc>
          <w:tcPr>
            <w:tcW w:w="2899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2493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10,500</w:t>
            </w:r>
          </w:p>
        </w:tc>
      </w:tr>
      <w:tr w:rsidR="00CC7313" w:rsidTr="00CC7313">
        <w:tc>
          <w:tcPr>
            <w:tcW w:w="3130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-Variable</w:t>
            </w:r>
          </w:p>
        </w:tc>
        <w:tc>
          <w:tcPr>
            <w:tcW w:w="2899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2493" w:type="dxa"/>
          </w:tcPr>
          <w:p w:rsidR="00CC7313" w:rsidRDefault="00CC7313" w:rsidP="0053479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4,800</w:t>
            </w:r>
          </w:p>
        </w:tc>
      </w:tr>
    </w:tbl>
    <w:p w:rsidR="0053479D" w:rsidRPr="0015753D" w:rsidRDefault="0053479D" w:rsidP="0053479D">
      <w:pPr>
        <w:pStyle w:val="ListParagraph"/>
        <w:rPr>
          <w:rFonts w:ascii="Arial" w:hAnsi="Arial" w:cs="Arial"/>
        </w:rPr>
      </w:pPr>
    </w:p>
    <w:p w:rsidR="007F4940" w:rsidRDefault="00FC13BE" w:rsidP="007F494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following information related to the production and sale of an artic</w:t>
      </w:r>
      <w:r w:rsidR="00CC7313">
        <w:rPr>
          <w:rFonts w:ascii="Arial" w:hAnsi="Arial" w:cs="Arial"/>
        </w:rPr>
        <w:t>le for January and February 2017</w:t>
      </w:r>
      <w:r>
        <w:rPr>
          <w:rFonts w:ascii="Arial" w:hAnsi="Arial" w:cs="Arial"/>
        </w:rPr>
        <w:t xml:space="preserve"> is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846"/>
        <w:gridCol w:w="2857"/>
      </w:tblGrid>
      <w:tr w:rsidR="00FC13BE" w:rsidTr="00FC13BE">
        <w:tc>
          <w:tcPr>
            <w:tcW w:w="3080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</w:tr>
      <w:tr w:rsidR="00FC13BE" w:rsidTr="00FC13BE">
        <w:tc>
          <w:tcPr>
            <w:tcW w:w="3080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38,000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65,000</w:t>
            </w:r>
          </w:p>
        </w:tc>
      </w:tr>
      <w:tr w:rsidR="00FC13BE" w:rsidTr="00FC13BE">
        <w:tc>
          <w:tcPr>
            <w:tcW w:w="3080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3,000</w:t>
            </w:r>
          </w:p>
        </w:tc>
      </w:tr>
      <w:tr w:rsidR="00FC13BE" w:rsidTr="00FC13BE">
        <w:tc>
          <w:tcPr>
            <w:tcW w:w="3080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2,400</w:t>
            </w:r>
          </w:p>
        </w:tc>
        <w:tc>
          <w:tcPr>
            <w:tcW w:w="3081" w:type="dxa"/>
          </w:tcPr>
          <w:p w:rsidR="00FC13BE" w:rsidRDefault="00FC13BE" w:rsidP="00FC13B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Calculate:</w:t>
      </w:r>
    </w:p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a.P</w:t>
      </w:r>
      <w:proofErr w:type="spellEnd"/>
      <w:r>
        <w:rPr>
          <w:rFonts w:ascii="Arial" w:hAnsi="Arial" w:cs="Arial"/>
        </w:rPr>
        <w:t>/V</w:t>
      </w:r>
      <w:proofErr w:type="gramEnd"/>
      <w:r>
        <w:rPr>
          <w:rFonts w:ascii="Arial" w:hAnsi="Arial" w:cs="Arial"/>
        </w:rPr>
        <w:t xml:space="preserve"> ratio</w:t>
      </w:r>
    </w:p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b.Fixed</w:t>
      </w:r>
      <w:proofErr w:type="spellEnd"/>
      <w:proofErr w:type="gramEnd"/>
      <w:r>
        <w:rPr>
          <w:rFonts w:ascii="Arial" w:hAnsi="Arial" w:cs="Arial"/>
        </w:rPr>
        <w:t xml:space="preserve"> cost</w:t>
      </w:r>
    </w:p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c.</w:t>
      </w:r>
      <w:proofErr w:type="spellStart"/>
      <w:r>
        <w:rPr>
          <w:rFonts w:ascii="Arial" w:hAnsi="Arial" w:cs="Arial"/>
        </w:rPr>
        <w:t>Break</w:t>
      </w:r>
      <w:proofErr w:type="gramEnd"/>
      <w:r>
        <w:rPr>
          <w:rFonts w:ascii="Arial" w:hAnsi="Arial" w:cs="Arial"/>
        </w:rPr>
        <w:t xml:space="preserve"> even</w:t>
      </w:r>
      <w:proofErr w:type="spellEnd"/>
      <w:r>
        <w:rPr>
          <w:rFonts w:ascii="Arial" w:hAnsi="Arial" w:cs="Arial"/>
        </w:rPr>
        <w:t xml:space="preserve"> point</w:t>
      </w:r>
    </w:p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d.Profit</w:t>
      </w:r>
      <w:proofErr w:type="spellEnd"/>
      <w:r>
        <w:rPr>
          <w:rFonts w:ascii="Arial" w:hAnsi="Arial" w:cs="Arial"/>
        </w:rPr>
        <w:t>/Loss</w:t>
      </w:r>
      <w:proofErr w:type="gramEnd"/>
      <w:r>
        <w:rPr>
          <w:rFonts w:ascii="Arial" w:hAnsi="Arial" w:cs="Arial"/>
        </w:rPr>
        <w:t xml:space="preserve"> at sales</w:t>
      </w:r>
      <w:r w:rsidR="00D90936">
        <w:rPr>
          <w:rFonts w:ascii="Arial" w:hAnsi="Arial" w:cs="Arial"/>
        </w:rPr>
        <w:t xml:space="preserve"> of Rs.46000</w:t>
      </w:r>
    </w:p>
    <w:p w:rsidR="00FC13BE" w:rsidRDefault="00FC13BE" w:rsidP="006D59B2">
      <w:pPr>
        <w:pStyle w:val="NoSpacing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e. Sales to earn a profit of </w:t>
      </w:r>
      <w:proofErr w:type="spellStart"/>
      <w:r w:rsidR="00D90936">
        <w:rPr>
          <w:rFonts w:ascii="Arial" w:hAnsi="Arial" w:cs="Arial"/>
        </w:rPr>
        <w:t>Rs</w:t>
      </w:r>
      <w:proofErr w:type="spellEnd"/>
      <w:r w:rsidR="00D909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5,000</w:t>
      </w:r>
    </w:p>
    <w:p w:rsidR="00EF5D3F" w:rsidRDefault="00D90936" w:rsidP="006D59B2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Explain the</w:t>
      </w:r>
      <w:r w:rsidR="0089368F">
        <w:rPr>
          <w:rFonts w:ascii="Arial" w:eastAsia="Times New Roman" w:hAnsi="Arial" w:cs="Arial"/>
          <w:color w:val="000000"/>
        </w:rPr>
        <w:t xml:space="preserve"> benefits of relevant costing</w:t>
      </w:r>
      <w:r w:rsidR="00DA154B">
        <w:rPr>
          <w:rFonts w:ascii="Arial" w:eastAsia="Times New Roman" w:hAnsi="Arial" w:cs="Arial"/>
          <w:color w:val="000000"/>
        </w:rPr>
        <w:t>?</w:t>
      </w:r>
    </w:p>
    <w:p w:rsidR="0006720E" w:rsidRPr="00F00657" w:rsidRDefault="00F00657" w:rsidP="006D59B2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F00657">
        <w:rPr>
          <w:rFonts w:ascii="Arial" w:eastAsia="Times New Roman" w:hAnsi="Arial" w:cs="Arial"/>
          <w:color w:val="000000" w:themeColor="text1"/>
        </w:rPr>
        <w:t>Describe the limitations of financial</w:t>
      </w:r>
      <w:r w:rsidR="00D90936">
        <w:rPr>
          <w:rFonts w:ascii="Arial" w:eastAsia="Times New Roman" w:hAnsi="Arial" w:cs="Arial"/>
          <w:color w:val="000000" w:themeColor="text1"/>
        </w:rPr>
        <w:t xml:space="preserve"> statement</w:t>
      </w:r>
      <w:r w:rsidRPr="00F00657">
        <w:rPr>
          <w:rFonts w:ascii="Arial" w:eastAsia="Times New Roman" w:hAnsi="Arial" w:cs="Arial"/>
          <w:color w:val="000000" w:themeColor="text1"/>
        </w:rPr>
        <w:t xml:space="preserve"> analysis</w:t>
      </w:r>
      <w:r>
        <w:rPr>
          <w:rFonts w:ascii="Arial" w:eastAsia="Times New Roman" w:hAnsi="Arial" w:cs="Arial"/>
          <w:color w:val="000000" w:themeColor="text1"/>
        </w:rPr>
        <w:t>.</w:t>
      </w:r>
    </w:p>
    <w:p w:rsidR="00BC7B08" w:rsidRPr="00BC7B08" w:rsidRDefault="00BC7B08" w:rsidP="00BC7B08">
      <w:pPr>
        <w:pStyle w:val="ListParagraph"/>
        <w:ind w:left="90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7B08">
        <w:rPr>
          <w:rFonts w:ascii="Arial" w:hAnsi="Arial" w:cs="Arial"/>
          <w:b/>
          <w:sz w:val="24"/>
          <w:szCs w:val="24"/>
          <w:u w:val="single"/>
        </w:rPr>
        <w:t>SECTION – C</w:t>
      </w:r>
    </w:p>
    <w:p w:rsidR="00BC7B08" w:rsidRPr="00BC7B08" w:rsidRDefault="00BC7B08" w:rsidP="00BC7B08">
      <w:pPr>
        <w:rPr>
          <w:rFonts w:ascii="Arial" w:hAnsi="Arial" w:cs="Arial"/>
          <w:b/>
          <w:sz w:val="24"/>
          <w:szCs w:val="24"/>
        </w:rPr>
      </w:pPr>
      <w:r w:rsidRPr="00BC7B08">
        <w:rPr>
          <w:rFonts w:ascii="Arial" w:hAnsi="Arial" w:cs="Arial"/>
          <w:b/>
          <w:sz w:val="24"/>
          <w:szCs w:val="24"/>
        </w:rPr>
        <w:t>Answer any three from the following questions                                         3*10=30</w:t>
      </w:r>
    </w:p>
    <w:p w:rsidR="00757250" w:rsidRDefault="0089368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State the issues and problems with reference to published financial statements.</w:t>
      </w:r>
    </w:p>
    <w:p w:rsidR="007A2094" w:rsidRDefault="0089368F" w:rsidP="006D59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the </w:t>
      </w:r>
      <w:proofErr w:type="spellStart"/>
      <w:r>
        <w:rPr>
          <w:rFonts w:ascii="Arial" w:hAnsi="Arial" w:cs="Arial"/>
        </w:rPr>
        <w:t>following,prepare</w:t>
      </w:r>
      <w:proofErr w:type="spellEnd"/>
      <w:r>
        <w:rPr>
          <w:rFonts w:ascii="Arial" w:hAnsi="Arial" w:cs="Arial"/>
        </w:rPr>
        <w:t xml:space="preserve"> a cash budget of a Company;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6"/>
        <w:gridCol w:w="1696"/>
        <w:gridCol w:w="1696"/>
        <w:gridCol w:w="1697"/>
        <w:gridCol w:w="1697"/>
      </w:tblGrid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9368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Qtr</w:t>
            </w:r>
            <w:proofErr w:type="spellEnd"/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36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Qtr</w:t>
            </w:r>
            <w:proofErr w:type="spellEnd"/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936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Qtr</w:t>
            </w:r>
            <w:proofErr w:type="spellEnd"/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9368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Qtr</w:t>
            </w:r>
            <w:proofErr w:type="spellEnd"/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Op.Cash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</w:t>
            </w:r>
            <w:proofErr w:type="spellEnd"/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from Customers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2,21,000</w:t>
            </w: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of materials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54,200</w:t>
            </w: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expenses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17,000</w:t>
            </w: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 and wages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95,000</w:t>
            </w: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1,09,200</w:t>
            </w: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Tax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9368F" w:rsidTr="0089368F"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of Machinery</w:t>
            </w: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9368F" w:rsidRDefault="0089368F" w:rsidP="0089368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</w:tr>
    </w:tbl>
    <w:p w:rsidR="0089368F" w:rsidRDefault="0089368F" w:rsidP="006D59B2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desired to maintain a cash balance of 15,000 at the end of each </w:t>
      </w:r>
      <w:proofErr w:type="spellStart"/>
      <w:r>
        <w:rPr>
          <w:rFonts w:ascii="Arial" w:hAnsi="Arial" w:cs="Arial"/>
        </w:rPr>
        <w:t>Quarter.Cash</w:t>
      </w:r>
      <w:proofErr w:type="spellEnd"/>
      <w:r>
        <w:rPr>
          <w:rFonts w:ascii="Arial" w:hAnsi="Arial" w:cs="Arial"/>
        </w:rPr>
        <w:t xml:space="preserve"> can be borrowed or repaid in multiples of 500 at an interest of 10%p.a.</w:t>
      </w:r>
      <w:r w:rsidR="00162ABD">
        <w:rPr>
          <w:rFonts w:ascii="Arial" w:hAnsi="Arial" w:cs="Arial"/>
        </w:rPr>
        <w:t>Management does not want to borrow cash more than what is necessary and wants to repay as early</w:t>
      </w:r>
      <w:r w:rsidR="009230F7">
        <w:rPr>
          <w:rFonts w:ascii="Arial" w:hAnsi="Arial" w:cs="Arial"/>
        </w:rPr>
        <w:t xml:space="preserve"> as possible. In any event, loans</w:t>
      </w:r>
      <w:r w:rsidR="00162ABD">
        <w:rPr>
          <w:rFonts w:ascii="Arial" w:hAnsi="Arial" w:cs="Arial"/>
        </w:rPr>
        <w:t xml:space="preserve"> cannot be extended beyond 4 quarters. Interest is computed and paid when the principal is repaid .Assume that the borrowings take place at the beginning and repayments are made at the end of the quarters.</w:t>
      </w:r>
    </w:p>
    <w:p w:rsidR="00162ABD" w:rsidRDefault="00162ABD" w:rsidP="00162ABD">
      <w:pPr>
        <w:pStyle w:val="ListParagraph"/>
        <w:jc w:val="both"/>
        <w:rPr>
          <w:rFonts w:ascii="Arial" w:hAnsi="Arial" w:cs="Arial"/>
        </w:rPr>
      </w:pPr>
    </w:p>
    <w:p w:rsidR="00E27953" w:rsidRPr="00F42E3A" w:rsidRDefault="00E27953" w:rsidP="00F42E3A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F42E3A">
        <w:rPr>
          <w:rFonts w:ascii="Arial" w:hAnsi="Arial" w:cs="Arial"/>
        </w:rPr>
        <w:t>A, B and C are three similar plants under same management who want them to be merged for better operation. The details are as under: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201"/>
        <w:gridCol w:w="1603"/>
        <w:gridCol w:w="1417"/>
        <w:gridCol w:w="1701"/>
      </w:tblGrid>
      <w:tr w:rsidR="00E27953" w:rsidRPr="00F4671D" w:rsidTr="00327504">
        <w:trPr>
          <w:trHeight w:val="253"/>
        </w:trPr>
        <w:tc>
          <w:tcPr>
            <w:tcW w:w="3201" w:type="dxa"/>
          </w:tcPr>
          <w:p w:rsidR="00E27953" w:rsidRPr="00F4671D" w:rsidRDefault="00E27953" w:rsidP="0032750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</w:t>
            </w:r>
          </w:p>
        </w:tc>
        <w:tc>
          <w:tcPr>
            <w:tcW w:w="1603" w:type="dxa"/>
          </w:tcPr>
          <w:p w:rsidR="00E27953" w:rsidRPr="00F4671D" w:rsidRDefault="00E27953" w:rsidP="0032750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4671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417" w:type="dxa"/>
          </w:tcPr>
          <w:p w:rsidR="00E27953" w:rsidRPr="00F4671D" w:rsidRDefault="00E27953" w:rsidP="0032750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4671D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01" w:type="dxa"/>
          </w:tcPr>
          <w:p w:rsidR="00E27953" w:rsidRPr="00F4671D" w:rsidRDefault="00E27953" w:rsidP="0032750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4671D">
              <w:rPr>
                <w:rFonts w:ascii="Arial" w:hAnsi="Arial" w:cs="Arial"/>
                <w:b/>
              </w:rPr>
              <w:t>C</w:t>
            </w:r>
          </w:p>
        </w:tc>
      </w:tr>
      <w:tr w:rsidR="00E27953" w:rsidTr="00327504">
        <w:trPr>
          <w:trHeight w:val="253"/>
        </w:trPr>
        <w:tc>
          <w:tcPr>
            <w:tcW w:w="32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operated</w:t>
            </w:r>
          </w:p>
        </w:tc>
        <w:tc>
          <w:tcPr>
            <w:tcW w:w="1603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7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  <w:tc>
          <w:tcPr>
            <w:tcW w:w="17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E27953" w:rsidTr="00327504">
        <w:trPr>
          <w:trHeight w:val="253"/>
        </w:trPr>
        <w:tc>
          <w:tcPr>
            <w:tcW w:w="32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in Lakhs</w:t>
            </w:r>
          </w:p>
        </w:tc>
        <w:tc>
          <w:tcPr>
            <w:tcW w:w="1417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in Lakhs</w:t>
            </w:r>
          </w:p>
        </w:tc>
        <w:tc>
          <w:tcPr>
            <w:tcW w:w="17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in Lakhs</w:t>
            </w:r>
          </w:p>
        </w:tc>
      </w:tr>
      <w:tr w:rsidR="00E27953" w:rsidTr="00327504">
        <w:trPr>
          <w:trHeight w:val="253"/>
        </w:trPr>
        <w:tc>
          <w:tcPr>
            <w:tcW w:w="32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Turnover</w:t>
            </w:r>
          </w:p>
        </w:tc>
        <w:tc>
          <w:tcPr>
            <w:tcW w:w="1603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7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E27953" w:rsidTr="00327504">
        <w:trPr>
          <w:trHeight w:val="253"/>
        </w:trPr>
        <w:tc>
          <w:tcPr>
            <w:tcW w:w="32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cost</w:t>
            </w:r>
          </w:p>
        </w:tc>
        <w:tc>
          <w:tcPr>
            <w:tcW w:w="1603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E27953" w:rsidTr="00327504">
        <w:trPr>
          <w:trHeight w:val="241"/>
        </w:trPr>
        <w:tc>
          <w:tcPr>
            <w:tcW w:w="32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cost</w:t>
            </w:r>
          </w:p>
        </w:tc>
        <w:tc>
          <w:tcPr>
            <w:tcW w:w="1603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E27953" w:rsidRDefault="00E27953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</w:tbl>
    <w:p w:rsidR="00E27953" w:rsidRDefault="00E27953" w:rsidP="00E2795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Find out:</w:t>
      </w:r>
    </w:p>
    <w:p w:rsidR="00E27953" w:rsidRDefault="00E27953" w:rsidP="00E27953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capacity of the merged plant for break-even.</w:t>
      </w:r>
    </w:p>
    <w:p w:rsidR="00E27953" w:rsidRDefault="00E27953" w:rsidP="00E27953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profit or loss @ 50% capacity of the merged plant.</w:t>
      </w:r>
    </w:p>
    <w:p w:rsidR="00197106" w:rsidRPr="00DC6492" w:rsidRDefault="00E27953" w:rsidP="00DC6492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turnover from the merged plant to give a profit of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15 lakhs.</w:t>
      </w:r>
    </w:p>
    <w:p w:rsidR="00746E32" w:rsidRDefault="008D048D" w:rsidP="006D5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proofErr w:type="gramStart"/>
      <w:r>
        <w:rPr>
          <w:rFonts w:ascii="Arial" w:hAnsi="Arial" w:cs="Arial"/>
        </w:rPr>
        <w:t>.</w:t>
      </w:r>
      <w:r w:rsidR="00746E32">
        <w:rPr>
          <w:rFonts w:ascii="Arial" w:hAnsi="Arial" w:cs="Arial"/>
        </w:rPr>
        <w:t>The</w:t>
      </w:r>
      <w:proofErr w:type="gramEnd"/>
      <w:r w:rsidR="00746E32">
        <w:rPr>
          <w:rFonts w:ascii="Arial" w:hAnsi="Arial" w:cs="Arial"/>
        </w:rPr>
        <w:t xml:space="preserve"> manager of Repairs and </w:t>
      </w:r>
      <w:r w:rsidR="006207C2">
        <w:rPr>
          <w:rFonts w:ascii="Arial" w:hAnsi="Arial" w:cs="Arial"/>
        </w:rPr>
        <w:t>Maintenance</w:t>
      </w:r>
      <w:r w:rsidR="00746E32">
        <w:rPr>
          <w:rFonts w:ascii="Arial" w:hAnsi="Arial" w:cs="Arial"/>
        </w:rPr>
        <w:t xml:space="preserve"> Department in response to a request submitted the </w:t>
      </w:r>
      <w:r w:rsidR="00316C99">
        <w:rPr>
          <w:rFonts w:ascii="Arial" w:hAnsi="Arial" w:cs="Arial"/>
        </w:rPr>
        <w:t xml:space="preserve">following budgetary </w:t>
      </w:r>
      <w:proofErr w:type="spellStart"/>
      <w:r w:rsidR="00316C99">
        <w:rPr>
          <w:rFonts w:ascii="Arial" w:hAnsi="Arial" w:cs="Arial"/>
        </w:rPr>
        <w:t>estimates</w:t>
      </w:r>
      <w:r w:rsidR="00746E32">
        <w:rPr>
          <w:rFonts w:ascii="Arial" w:hAnsi="Arial" w:cs="Arial"/>
        </w:rPr>
        <w:t>.Prepare</w:t>
      </w:r>
      <w:proofErr w:type="spellEnd"/>
      <w:r w:rsidR="00746E32">
        <w:rPr>
          <w:rFonts w:ascii="Arial" w:hAnsi="Arial" w:cs="Arial"/>
        </w:rPr>
        <w:t xml:space="preserve"> a flexible budget based on the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46E32" w:rsidTr="002177BF">
        <w:tc>
          <w:tcPr>
            <w:tcW w:w="3080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Cost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at 6000 direct repair hours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at 9000 direct repair hours</w:t>
            </w:r>
          </w:p>
        </w:tc>
      </w:tr>
      <w:tr w:rsidR="00746E32" w:rsidTr="002177BF">
        <w:tc>
          <w:tcPr>
            <w:tcW w:w="3080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salaries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</w:tr>
      <w:tr w:rsidR="00746E32" w:rsidTr="002177BF">
        <w:tc>
          <w:tcPr>
            <w:tcW w:w="3080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Indirect repair materials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40,200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60,300</w:t>
            </w:r>
          </w:p>
        </w:tc>
      </w:tr>
      <w:tr w:rsidR="00746E32" w:rsidTr="002177BF">
        <w:tc>
          <w:tcPr>
            <w:tcW w:w="3080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Miscellaneous cost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13,200</w:t>
            </w:r>
          </w:p>
        </w:tc>
        <w:tc>
          <w:tcPr>
            <w:tcW w:w="3081" w:type="dxa"/>
          </w:tcPr>
          <w:p w:rsidR="00746E32" w:rsidRDefault="00746E32" w:rsidP="0021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16,800</w:t>
            </w:r>
          </w:p>
        </w:tc>
      </w:tr>
    </w:tbl>
    <w:p w:rsidR="006863B3" w:rsidRDefault="00A94461" w:rsidP="006863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Prepare a flexible budget </w:t>
      </w:r>
      <w:r w:rsidR="00746E32">
        <w:rPr>
          <w:rFonts w:ascii="Arial" w:hAnsi="Arial" w:cs="Arial"/>
        </w:rPr>
        <w:t xml:space="preserve">for the department </w:t>
      </w:r>
      <w:proofErr w:type="spellStart"/>
      <w:r w:rsidR="00746E32">
        <w:rPr>
          <w:rFonts w:ascii="Arial" w:hAnsi="Arial" w:cs="Arial"/>
        </w:rPr>
        <w:t>upto</w:t>
      </w:r>
      <w:proofErr w:type="spellEnd"/>
      <w:r w:rsidR="00746E32">
        <w:rPr>
          <w:rFonts w:ascii="Arial" w:hAnsi="Arial" w:cs="Arial"/>
        </w:rPr>
        <w:t xml:space="preserve"> activity level of 9000 repair </w:t>
      </w:r>
      <w:proofErr w:type="gramStart"/>
      <w:r w:rsidR="00746E32">
        <w:rPr>
          <w:rFonts w:ascii="Arial" w:hAnsi="Arial" w:cs="Arial"/>
        </w:rPr>
        <w:t>hours(</w:t>
      </w:r>
      <w:proofErr w:type="gramEnd"/>
      <w:r w:rsidR="00746E32">
        <w:rPr>
          <w:rFonts w:ascii="Arial" w:hAnsi="Arial" w:cs="Arial"/>
        </w:rPr>
        <w:t>use increments of 1000 hours)</w:t>
      </w:r>
      <w:r w:rsidR="00746E32">
        <w:rPr>
          <w:rFonts w:ascii="Arial" w:hAnsi="Arial" w:cs="Arial"/>
        </w:rPr>
        <w:tab/>
      </w:r>
      <w:r w:rsidR="006863B3">
        <w:rPr>
          <w:rFonts w:ascii="Arial" w:hAnsi="Arial" w:cs="Arial"/>
        </w:rPr>
        <w:t>.</w:t>
      </w:r>
    </w:p>
    <w:p w:rsidR="00354DAE" w:rsidRDefault="007E2B49" w:rsidP="006D59B2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proofErr w:type="gramStart"/>
      <w:r>
        <w:rPr>
          <w:rFonts w:ascii="Arial" w:hAnsi="Arial" w:cs="Arial"/>
        </w:rPr>
        <w:t>.From</w:t>
      </w:r>
      <w:proofErr w:type="gramEnd"/>
      <w:r>
        <w:rPr>
          <w:rFonts w:ascii="Arial" w:hAnsi="Arial" w:cs="Arial"/>
        </w:rPr>
        <w:t xml:space="preserve"> the following </w:t>
      </w:r>
      <w:proofErr w:type="spellStart"/>
      <w:r>
        <w:rPr>
          <w:rFonts w:ascii="Arial" w:hAnsi="Arial" w:cs="Arial"/>
        </w:rPr>
        <w:t>information,calculate</w:t>
      </w:r>
      <w:proofErr w:type="spellEnd"/>
    </w:p>
    <w:p w:rsidR="0004524B" w:rsidRDefault="0004524B" w:rsidP="006D59B2">
      <w:pPr>
        <w:pStyle w:val="NoSpacing"/>
        <w:spacing w:line="360" w:lineRule="auto"/>
        <w:rPr>
          <w:rFonts w:ascii="Arial" w:hAnsi="Arial" w:cs="Arial"/>
        </w:rPr>
      </w:pPr>
    </w:p>
    <w:p w:rsidR="007E2B49" w:rsidRDefault="007E2B49" w:rsidP="006D59B2">
      <w:pPr>
        <w:pStyle w:val="NoSpacing"/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a.Labour</w:t>
      </w:r>
      <w:proofErr w:type="spellEnd"/>
      <w:proofErr w:type="gramEnd"/>
      <w:r>
        <w:rPr>
          <w:rFonts w:ascii="Arial" w:hAnsi="Arial" w:cs="Arial"/>
        </w:rPr>
        <w:t xml:space="preserve"> cost variance</w:t>
      </w:r>
    </w:p>
    <w:p w:rsidR="007E2B49" w:rsidRDefault="007E2B49" w:rsidP="006D59B2">
      <w:pPr>
        <w:pStyle w:val="NoSpacing"/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b.Labour</w:t>
      </w:r>
      <w:proofErr w:type="spellEnd"/>
      <w:proofErr w:type="gramEnd"/>
      <w:r>
        <w:rPr>
          <w:rFonts w:ascii="Arial" w:hAnsi="Arial" w:cs="Arial"/>
        </w:rPr>
        <w:t xml:space="preserve"> rate variance</w:t>
      </w:r>
    </w:p>
    <w:p w:rsidR="007E2B49" w:rsidRDefault="007E2B49" w:rsidP="006D59B2">
      <w:pPr>
        <w:pStyle w:val="NoSpacing"/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c.Labour</w:t>
      </w:r>
      <w:proofErr w:type="spellEnd"/>
      <w:proofErr w:type="gramEnd"/>
      <w:r>
        <w:rPr>
          <w:rFonts w:ascii="Arial" w:hAnsi="Arial" w:cs="Arial"/>
        </w:rPr>
        <w:t xml:space="preserve"> efficiency variance</w:t>
      </w:r>
    </w:p>
    <w:p w:rsidR="007E2B49" w:rsidRDefault="007E2B49" w:rsidP="006D59B2">
      <w:pPr>
        <w:pStyle w:val="NoSpacing"/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d.Labour</w:t>
      </w:r>
      <w:proofErr w:type="spellEnd"/>
      <w:proofErr w:type="gramEnd"/>
      <w:r>
        <w:rPr>
          <w:rFonts w:ascii="Arial" w:hAnsi="Arial" w:cs="Arial"/>
        </w:rPr>
        <w:t xml:space="preserve"> Mix variance</w:t>
      </w:r>
    </w:p>
    <w:p w:rsidR="007E2B49" w:rsidRDefault="007E2B49" w:rsidP="006D59B2">
      <w:pPr>
        <w:pStyle w:val="NoSpacing"/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e.Labour</w:t>
      </w:r>
      <w:proofErr w:type="spellEnd"/>
      <w:proofErr w:type="gramEnd"/>
      <w:r>
        <w:rPr>
          <w:rFonts w:ascii="Arial" w:hAnsi="Arial" w:cs="Arial"/>
        </w:rPr>
        <w:t xml:space="preserve"> Yield Variance.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332"/>
        <w:gridCol w:w="2454"/>
        <w:gridCol w:w="2059"/>
      </w:tblGrid>
      <w:tr w:rsidR="0004524B" w:rsidTr="0004524B">
        <w:tc>
          <w:tcPr>
            <w:tcW w:w="2397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Skilled workers</w:t>
            </w:r>
          </w:p>
        </w:tc>
        <w:tc>
          <w:tcPr>
            <w:tcW w:w="2454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Semiskilled workers</w:t>
            </w:r>
          </w:p>
        </w:tc>
        <w:tc>
          <w:tcPr>
            <w:tcW w:w="2059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Unskilled workers</w:t>
            </w:r>
          </w:p>
        </w:tc>
      </w:tr>
      <w:tr w:rsidR="0004524B" w:rsidTr="0004524B">
        <w:tc>
          <w:tcPr>
            <w:tcW w:w="2397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number of workers</w:t>
            </w:r>
            <w:r w:rsidR="00316C99">
              <w:rPr>
                <w:rFonts w:ascii="Arial" w:hAnsi="Arial" w:cs="Arial"/>
              </w:rPr>
              <w:t xml:space="preserve"> in the gang</w:t>
            </w:r>
          </w:p>
        </w:tc>
        <w:tc>
          <w:tcPr>
            <w:tcW w:w="2332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454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9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4524B" w:rsidTr="0004524B">
        <w:tc>
          <w:tcPr>
            <w:tcW w:w="2397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number of workers employed</w:t>
            </w:r>
          </w:p>
        </w:tc>
        <w:tc>
          <w:tcPr>
            <w:tcW w:w="2332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454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59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4524B" w:rsidTr="0004524B">
        <w:tc>
          <w:tcPr>
            <w:tcW w:w="2397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wage rate per hour</w:t>
            </w:r>
          </w:p>
        </w:tc>
        <w:tc>
          <w:tcPr>
            <w:tcW w:w="2332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4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9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524B" w:rsidTr="0004524B">
        <w:tc>
          <w:tcPr>
            <w:tcW w:w="2397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wage rate per hour</w:t>
            </w:r>
          </w:p>
        </w:tc>
        <w:tc>
          <w:tcPr>
            <w:tcW w:w="2332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54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59" w:type="dxa"/>
          </w:tcPr>
          <w:p w:rsidR="0004524B" w:rsidRDefault="0004524B" w:rsidP="00354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DD19E3" w:rsidRDefault="007E2B49" w:rsidP="00354DA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During the 40 hours working </w:t>
      </w:r>
      <w:proofErr w:type="gramStart"/>
      <w:r>
        <w:rPr>
          <w:rFonts w:ascii="Arial" w:hAnsi="Arial" w:cs="Arial"/>
        </w:rPr>
        <w:t>week ,the</w:t>
      </w:r>
      <w:proofErr w:type="gramEnd"/>
      <w:r>
        <w:rPr>
          <w:rFonts w:ascii="Arial" w:hAnsi="Arial" w:cs="Arial"/>
        </w:rPr>
        <w:t xml:space="preserve"> gang produces 1800 </w:t>
      </w:r>
      <w:r w:rsidR="0004524B">
        <w:rPr>
          <w:rFonts w:ascii="Arial" w:hAnsi="Arial" w:cs="Arial"/>
        </w:rPr>
        <w:t>standard labour hours of work</w:t>
      </w:r>
    </w:p>
    <w:p w:rsidR="00B85F94" w:rsidRDefault="00B85F94" w:rsidP="009F4E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4E11" w:rsidRPr="008A446D" w:rsidRDefault="009F4E11" w:rsidP="009F4E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446D">
        <w:rPr>
          <w:rFonts w:ascii="Arial" w:hAnsi="Arial" w:cs="Arial"/>
          <w:b/>
          <w:sz w:val="24"/>
          <w:szCs w:val="24"/>
          <w:u w:val="single"/>
        </w:rPr>
        <w:t>SECTION – D</w:t>
      </w:r>
    </w:p>
    <w:p w:rsidR="009F4E11" w:rsidRDefault="009F4E11" w:rsidP="009F4E11">
      <w:pPr>
        <w:rPr>
          <w:rFonts w:ascii="Arial" w:hAnsi="Arial" w:cs="Arial"/>
          <w:b/>
          <w:sz w:val="24"/>
          <w:szCs w:val="24"/>
        </w:rPr>
      </w:pPr>
      <w:r w:rsidRPr="008A446D">
        <w:rPr>
          <w:rFonts w:ascii="Arial" w:hAnsi="Arial" w:cs="Arial"/>
          <w:b/>
          <w:sz w:val="24"/>
          <w:szCs w:val="24"/>
        </w:rPr>
        <w:t>Answer the following question                                                 1*15=15</w:t>
      </w:r>
    </w:p>
    <w:p w:rsidR="00746E32" w:rsidRDefault="007416A9" w:rsidP="00746E32">
      <w:pPr>
        <w:rPr>
          <w:rFonts w:ascii="Arial" w:hAnsi="Arial" w:cs="Arial"/>
        </w:rPr>
      </w:pPr>
      <w:r w:rsidRPr="00892382">
        <w:rPr>
          <w:rFonts w:ascii="Arial" w:hAnsi="Arial" w:cs="Arial"/>
          <w:b/>
        </w:rPr>
        <w:t>18</w:t>
      </w:r>
      <w:proofErr w:type="gramStart"/>
      <w:r w:rsidRPr="00892382">
        <w:rPr>
          <w:rFonts w:ascii="Arial" w:hAnsi="Arial" w:cs="Arial"/>
        </w:rPr>
        <w:t>.</w:t>
      </w:r>
      <w:r w:rsidR="00746E32">
        <w:rPr>
          <w:rFonts w:ascii="Arial" w:hAnsi="Arial" w:cs="Arial"/>
        </w:rPr>
        <w:t>Auto</w:t>
      </w:r>
      <w:proofErr w:type="gramEnd"/>
      <w:r w:rsidR="00746E32">
        <w:rPr>
          <w:rFonts w:ascii="Arial" w:hAnsi="Arial" w:cs="Arial"/>
        </w:rPr>
        <w:t xml:space="preserve"> Parts Ltd has an annual production of 90,000 units for a motor </w:t>
      </w:r>
      <w:proofErr w:type="spellStart"/>
      <w:r w:rsidR="00746E32">
        <w:rPr>
          <w:rFonts w:ascii="Arial" w:hAnsi="Arial" w:cs="Arial"/>
        </w:rPr>
        <w:t>component.The</w:t>
      </w:r>
      <w:proofErr w:type="spellEnd"/>
      <w:r w:rsidR="00746E32">
        <w:rPr>
          <w:rFonts w:ascii="Arial" w:hAnsi="Arial" w:cs="Arial"/>
        </w:rPr>
        <w:t xml:space="preserve"> component cost structure is as below:</w:t>
      </w:r>
    </w:p>
    <w:p w:rsidR="00746E32" w:rsidRPr="00746E32" w:rsidRDefault="00746E32" w:rsidP="00746E32">
      <w:pPr>
        <w:pStyle w:val="NoSpacing"/>
        <w:rPr>
          <w:rFonts w:ascii="Arial" w:hAnsi="Arial" w:cs="Arial"/>
        </w:rPr>
      </w:pPr>
      <w:r w:rsidRPr="00746E32">
        <w:rPr>
          <w:rFonts w:ascii="Arial" w:hAnsi="Arial" w:cs="Arial"/>
        </w:rPr>
        <w:t>Materials</w:t>
      </w:r>
      <w:r w:rsidRPr="00746E32">
        <w:rPr>
          <w:rFonts w:ascii="Arial" w:hAnsi="Arial" w:cs="Arial"/>
        </w:rPr>
        <w:tab/>
      </w:r>
      <w:r w:rsidRPr="00746E32">
        <w:rPr>
          <w:rFonts w:ascii="Arial" w:hAnsi="Arial" w:cs="Arial"/>
        </w:rPr>
        <w:tab/>
      </w:r>
      <w:r w:rsidRPr="00746E32">
        <w:rPr>
          <w:rFonts w:ascii="Arial" w:hAnsi="Arial" w:cs="Arial"/>
        </w:rPr>
        <w:tab/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 w:rsidRPr="00746E32">
        <w:rPr>
          <w:rFonts w:ascii="Arial" w:hAnsi="Arial" w:cs="Arial"/>
        </w:rPr>
        <w:t>270/unit</w:t>
      </w:r>
    </w:p>
    <w:p w:rsidR="00746E32" w:rsidRPr="00746E32" w:rsidRDefault="00746E32" w:rsidP="00746E32">
      <w:pPr>
        <w:pStyle w:val="NoSpacing"/>
        <w:rPr>
          <w:rFonts w:ascii="Arial" w:hAnsi="Arial" w:cs="Arial"/>
        </w:rPr>
      </w:pPr>
      <w:proofErr w:type="gramStart"/>
      <w:r w:rsidRPr="00746E32">
        <w:rPr>
          <w:rFonts w:ascii="Arial" w:hAnsi="Arial" w:cs="Arial"/>
        </w:rPr>
        <w:t>Labour(</w:t>
      </w:r>
      <w:proofErr w:type="gramEnd"/>
      <w:r w:rsidRPr="00746E32">
        <w:rPr>
          <w:rFonts w:ascii="Arial" w:hAnsi="Arial" w:cs="Arial"/>
        </w:rPr>
        <w:t>25%is fixed)</w:t>
      </w:r>
      <w:r w:rsidRPr="00746E32">
        <w:rPr>
          <w:rFonts w:ascii="Arial" w:hAnsi="Arial" w:cs="Arial"/>
        </w:rPr>
        <w:tab/>
      </w:r>
      <w:r w:rsidRPr="00746E32">
        <w:rPr>
          <w:rFonts w:ascii="Arial" w:hAnsi="Arial" w:cs="Arial"/>
        </w:rPr>
        <w:tab/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 w:rsidRPr="00746E32">
        <w:rPr>
          <w:rFonts w:ascii="Arial" w:hAnsi="Arial" w:cs="Arial"/>
        </w:rPr>
        <w:t>180/unit</w:t>
      </w:r>
    </w:p>
    <w:p w:rsidR="00746E32" w:rsidRPr="00746E32" w:rsidRDefault="00746E32" w:rsidP="00746E32">
      <w:pPr>
        <w:pStyle w:val="NoSpacing"/>
        <w:rPr>
          <w:rFonts w:ascii="Arial" w:hAnsi="Arial" w:cs="Arial"/>
        </w:rPr>
      </w:pPr>
      <w:r w:rsidRPr="00746E32">
        <w:rPr>
          <w:rFonts w:ascii="Arial" w:hAnsi="Arial" w:cs="Arial"/>
        </w:rPr>
        <w:t>Expenses:</w:t>
      </w:r>
    </w:p>
    <w:p w:rsidR="00746E32" w:rsidRPr="00746E32" w:rsidRDefault="00746E32" w:rsidP="00746E32">
      <w:pPr>
        <w:pStyle w:val="NoSpacing"/>
        <w:rPr>
          <w:rFonts w:ascii="Arial" w:hAnsi="Arial" w:cs="Arial"/>
        </w:rPr>
      </w:pPr>
      <w:r w:rsidRPr="00746E32">
        <w:rPr>
          <w:rFonts w:ascii="Arial" w:hAnsi="Arial" w:cs="Arial"/>
        </w:rPr>
        <w:t>Variable</w:t>
      </w:r>
      <w:r w:rsidRPr="00746E32">
        <w:rPr>
          <w:rFonts w:ascii="Arial" w:hAnsi="Arial" w:cs="Arial"/>
        </w:rPr>
        <w:tab/>
      </w:r>
      <w:r w:rsidRPr="00746E32">
        <w:rPr>
          <w:rFonts w:ascii="Arial" w:hAnsi="Arial" w:cs="Arial"/>
        </w:rPr>
        <w:tab/>
      </w:r>
      <w:r w:rsidRPr="00746E32">
        <w:rPr>
          <w:rFonts w:ascii="Arial" w:hAnsi="Arial" w:cs="Arial"/>
        </w:rPr>
        <w:tab/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 w:rsidRPr="00746E32">
        <w:rPr>
          <w:rFonts w:ascii="Arial" w:hAnsi="Arial" w:cs="Arial"/>
        </w:rPr>
        <w:t>90/unit</w:t>
      </w:r>
    </w:p>
    <w:p w:rsidR="00746E32" w:rsidRDefault="00746E32" w:rsidP="00746E32">
      <w:pPr>
        <w:pStyle w:val="NoSpacing"/>
        <w:rPr>
          <w:rFonts w:ascii="Arial" w:hAnsi="Arial" w:cs="Arial"/>
        </w:rPr>
      </w:pPr>
      <w:r w:rsidRPr="00746E32">
        <w:rPr>
          <w:rFonts w:ascii="Arial" w:hAnsi="Arial" w:cs="Arial"/>
        </w:rPr>
        <w:t>Fixed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135/unit</w:t>
      </w:r>
    </w:p>
    <w:p w:rsidR="00746E32" w:rsidRDefault="00746E32" w:rsidP="00746E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675/unit</w:t>
      </w:r>
    </w:p>
    <w:p w:rsidR="00746E32" w:rsidRDefault="00746E32" w:rsidP="00746E32">
      <w:pPr>
        <w:pStyle w:val="NoSpacing"/>
        <w:rPr>
          <w:rFonts w:ascii="Arial" w:hAnsi="Arial" w:cs="Arial"/>
        </w:rPr>
      </w:pPr>
    </w:p>
    <w:p w:rsidR="00746E32" w:rsidRDefault="00746E32" w:rsidP="006D59B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purchase manager has an offer from a supplier who is willing to supply the component at Rs.540.Should the component be purchased and production stopped?</w:t>
      </w:r>
    </w:p>
    <w:p w:rsidR="00746E32" w:rsidRDefault="00746E32" w:rsidP="006D59B2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746E32" w:rsidRPr="00746E32" w:rsidRDefault="00746E32" w:rsidP="006D59B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the resources now used for this component</w:t>
      </w:r>
      <w:r w:rsidR="002823F4">
        <w:rPr>
          <w:rFonts w:ascii="Arial" w:hAnsi="Arial" w:cs="Arial"/>
        </w:rPr>
        <w:t>’</w:t>
      </w:r>
      <w:r>
        <w:rPr>
          <w:rFonts w:ascii="Arial" w:hAnsi="Arial" w:cs="Arial"/>
        </w:rPr>
        <w:t>s manufacture are</w:t>
      </w:r>
      <w:r w:rsidR="002823F4">
        <w:rPr>
          <w:rFonts w:ascii="Arial" w:hAnsi="Arial" w:cs="Arial"/>
        </w:rPr>
        <w:t xml:space="preserve"> to be</w:t>
      </w:r>
      <w:r>
        <w:rPr>
          <w:rFonts w:ascii="Arial" w:hAnsi="Arial" w:cs="Arial"/>
        </w:rPr>
        <w:t xml:space="preserve"> used to produce another new product for which the selling price is </w:t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485.In this </w:t>
      </w:r>
      <w:proofErr w:type="spellStart"/>
      <w:r>
        <w:rPr>
          <w:rFonts w:ascii="Arial" w:hAnsi="Arial" w:cs="Arial"/>
        </w:rPr>
        <w:t>case,the</w:t>
      </w:r>
      <w:proofErr w:type="spellEnd"/>
      <w:r>
        <w:rPr>
          <w:rFonts w:ascii="Arial" w:hAnsi="Arial" w:cs="Arial"/>
        </w:rPr>
        <w:t xml:space="preserve"> material price will be </w:t>
      </w:r>
      <w:proofErr w:type="spellStart"/>
      <w:r w:rsidR="00DC6492">
        <w:rPr>
          <w:rFonts w:ascii="Arial" w:hAnsi="Arial" w:cs="Arial"/>
        </w:rPr>
        <w:t>Rs</w:t>
      </w:r>
      <w:proofErr w:type="spellEnd"/>
      <w:r w:rsidR="00DC6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200/unit.90,000 units of this product can be produced at the same cost basis as above for labour and </w:t>
      </w:r>
      <w:proofErr w:type="spellStart"/>
      <w:r>
        <w:rPr>
          <w:rFonts w:ascii="Arial" w:hAnsi="Arial" w:cs="Arial"/>
        </w:rPr>
        <w:t>expenses.Discuss</w:t>
      </w:r>
      <w:proofErr w:type="spellEnd"/>
      <w:r>
        <w:rPr>
          <w:rFonts w:ascii="Arial" w:hAnsi="Arial" w:cs="Arial"/>
        </w:rPr>
        <w:t xml:space="preserve"> whether it would be advi</w:t>
      </w:r>
      <w:r w:rsidR="009240F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able to divert the </w:t>
      </w:r>
      <w:r w:rsidR="009240F7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to manufacture the new </w:t>
      </w:r>
      <w:proofErr w:type="spellStart"/>
      <w:r>
        <w:rPr>
          <w:rFonts w:ascii="Arial" w:hAnsi="Arial" w:cs="Arial"/>
        </w:rPr>
        <w:t>product,on</w:t>
      </w:r>
      <w:proofErr w:type="spellEnd"/>
      <w:r>
        <w:rPr>
          <w:rFonts w:ascii="Arial" w:hAnsi="Arial" w:cs="Arial"/>
        </w:rPr>
        <w:t xml:space="preserve"> the footing that the component presently being produced </w:t>
      </w:r>
      <w:proofErr w:type="spellStart"/>
      <w:r>
        <w:rPr>
          <w:rFonts w:ascii="Arial" w:hAnsi="Arial" w:cs="Arial"/>
        </w:rPr>
        <w:t>would,in</w:t>
      </w:r>
      <w:r w:rsidR="009240F7">
        <w:rPr>
          <w:rFonts w:ascii="Arial" w:hAnsi="Arial" w:cs="Arial"/>
        </w:rPr>
        <w:t>s</w:t>
      </w:r>
      <w:r>
        <w:rPr>
          <w:rFonts w:ascii="Arial" w:hAnsi="Arial" w:cs="Arial"/>
        </w:rPr>
        <w:t>tead</w:t>
      </w:r>
      <w:proofErr w:type="spellEnd"/>
      <w:r>
        <w:rPr>
          <w:rFonts w:ascii="Arial" w:hAnsi="Arial" w:cs="Arial"/>
        </w:rPr>
        <w:t xml:space="preserve"> of being produced be purchased from the market.</w:t>
      </w:r>
    </w:p>
    <w:p w:rsidR="006863B3" w:rsidRDefault="006863B3" w:rsidP="006D5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64D7" w:rsidRDefault="00A064D7" w:rsidP="006863B3">
      <w:pPr>
        <w:rPr>
          <w:rFonts w:ascii="Arial" w:hAnsi="Arial" w:cs="Arial"/>
        </w:rPr>
      </w:pPr>
    </w:p>
    <w:p w:rsidR="00B85F94" w:rsidRDefault="00B85F94" w:rsidP="006863B3">
      <w:pPr>
        <w:rPr>
          <w:rFonts w:ascii="Arial" w:hAnsi="Arial" w:cs="Arial"/>
        </w:rPr>
      </w:pPr>
    </w:p>
    <w:p w:rsidR="00B85F94" w:rsidRPr="00B85F94" w:rsidRDefault="00B85F94" w:rsidP="00B85F94">
      <w:pPr>
        <w:jc w:val="right"/>
        <w:rPr>
          <w:rFonts w:ascii="Arial" w:hAnsi="Arial" w:cs="Arial"/>
        </w:rPr>
      </w:pPr>
      <w:r w:rsidRPr="00B85F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BCDEA 6616_A_19</w:t>
      </w:r>
    </w:p>
    <w:sectPr w:rsidR="00B85F94" w:rsidRPr="00B85F94" w:rsidSect="00B8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31" w:rsidRDefault="00D57831" w:rsidP="0047498D">
      <w:pPr>
        <w:spacing w:after="0" w:line="240" w:lineRule="auto"/>
      </w:pPr>
      <w:r>
        <w:separator/>
      </w:r>
    </w:p>
  </w:endnote>
  <w:endnote w:type="continuationSeparator" w:id="0">
    <w:p w:rsidR="00D57831" w:rsidRDefault="00D57831" w:rsidP="0047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8D" w:rsidRDefault="00474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8D" w:rsidRDefault="004749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8D" w:rsidRDefault="00474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31" w:rsidRDefault="00D57831" w:rsidP="0047498D">
      <w:pPr>
        <w:spacing w:after="0" w:line="240" w:lineRule="auto"/>
      </w:pPr>
      <w:r>
        <w:separator/>
      </w:r>
    </w:p>
  </w:footnote>
  <w:footnote w:type="continuationSeparator" w:id="0">
    <w:p w:rsidR="00D57831" w:rsidRDefault="00D57831" w:rsidP="0047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8D" w:rsidRDefault="00474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222391"/>
      <w:docPartObj>
        <w:docPartGallery w:val="Watermarks"/>
        <w:docPartUnique/>
      </w:docPartObj>
    </w:sdtPr>
    <w:sdtEndPr/>
    <w:sdtContent>
      <w:p w:rsidR="0047498D" w:rsidRDefault="00D5783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8D" w:rsidRDefault="00474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25C"/>
    <w:multiLevelType w:val="hybridMultilevel"/>
    <w:tmpl w:val="54744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7465B"/>
    <w:multiLevelType w:val="hybridMultilevel"/>
    <w:tmpl w:val="B28E72A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A43238"/>
    <w:multiLevelType w:val="hybridMultilevel"/>
    <w:tmpl w:val="755CC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3F54"/>
    <w:multiLevelType w:val="hybridMultilevel"/>
    <w:tmpl w:val="3A3EE6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858"/>
    <w:multiLevelType w:val="hybridMultilevel"/>
    <w:tmpl w:val="58648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1ACB"/>
    <w:multiLevelType w:val="hybridMultilevel"/>
    <w:tmpl w:val="07D82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47BF7"/>
    <w:multiLevelType w:val="hybridMultilevel"/>
    <w:tmpl w:val="F15CE81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A42B69"/>
    <w:multiLevelType w:val="hybridMultilevel"/>
    <w:tmpl w:val="576E8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105D7"/>
    <w:multiLevelType w:val="hybridMultilevel"/>
    <w:tmpl w:val="AE02FBF6"/>
    <w:lvl w:ilvl="0" w:tplc="A07C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3AC7"/>
    <w:multiLevelType w:val="hybridMultilevel"/>
    <w:tmpl w:val="4ED2520E"/>
    <w:lvl w:ilvl="0" w:tplc="0809000F">
      <w:start w:val="1"/>
      <w:numFmt w:val="decimal"/>
      <w:lvlText w:val="%1."/>
      <w:lvlJc w:val="left"/>
      <w:pPr>
        <w:ind w:left="845" w:hanging="360"/>
      </w:p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3DB219ED"/>
    <w:multiLevelType w:val="hybridMultilevel"/>
    <w:tmpl w:val="CCE4DF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686D8B"/>
    <w:multiLevelType w:val="hybridMultilevel"/>
    <w:tmpl w:val="91ECB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827E34"/>
    <w:multiLevelType w:val="hybridMultilevel"/>
    <w:tmpl w:val="B958E8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266C"/>
    <w:multiLevelType w:val="hybridMultilevel"/>
    <w:tmpl w:val="6F6614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704857"/>
    <w:multiLevelType w:val="hybridMultilevel"/>
    <w:tmpl w:val="0FD84B4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3B4593"/>
    <w:multiLevelType w:val="hybridMultilevel"/>
    <w:tmpl w:val="D2CE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D52CD"/>
    <w:multiLevelType w:val="hybridMultilevel"/>
    <w:tmpl w:val="78049B02"/>
    <w:lvl w:ilvl="0" w:tplc="0809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5418553F"/>
    <w:multiLevelType w:val="hybridMultilevel"/>
    <w:tmpl w:val="40CC59AC"/>
    <w:lvl w:ilvl="0" w:tplc="080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>
    <w:nsid w:val="5A426417"/>
    <w:multiLevelType w:val="hybridMultilevel"/>
    <w:tmpl w:val="723CD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608DD"/>
    <w:multiLevelType w:val="hybridMultilevel"/>
    <w:tmpl w:val="C7A45B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5A09D0"/>
    <w:multiLevelType w:val="hybridMultilevel"/>
    <w:tmpl w:val="7316990E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A6704"/>
    <w:multiLevelType w:val="hybridMultilevel"/>
    <w:tmpl w:val="AC8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060F9"/>
    <w:multiLevelType w:val="hybridMultilevel"/>
    <w:tmpl w:val="006A3B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21"/>
  </w:num>
  <w:num w:numId="8">
    <w:abstractNumId w:val="1"/>
  </w:num>
  <w:num w:numId="9">
    <w:abstractNumId w:val="9"/>
  </w:num>
  <w:num w:numId="10">
    <w:abstractNumId w:val="18"/>
  </w:num>
  <w:num w:numId="11">
    <w:abstractNumId w:val="4"/>
  </w:num>
  <w:num w:numId="12">
    <w:abstractNumId w:val="20"/>
  </w:num>
  <w:num w:numId="13">
    <w:abstractNumId w:val="5"/>
  </w:num>
  <w:num w:numId="14">
    <w:abstractNumId w:val="19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12"/>
  </w:num>
  <w:num w:numId="20">
    <w:abstractNumId w:val="22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0E3"/>
    <w:rsid w:val="00036480"/>
    <w:rsid w:val="00040DB4"/>
    <w:rsid w:val="00044272"/>
    <w:rsid w:val="0004524B"/>
    <w:rsid w:val="0006720E"/>
    <w:rsid w:val="000904C8"/>
    <w:rsid w:val="000957E1"/>
    <w:rsid w:val="000B3E54"/>
    <w:rsid w:val="00134E3F"/>
    <w:rsid w:val="0015753D"/>
    <w:rsid w:val="00162ABD"/>
    <w:rsid w:val="00197106"/>
    <w:rsid w:val="001C5782"/>
    <w:rsid w:val="002823F4"/>
    <w:rsid w:val="002A57DC"/>
    <w:rsid w:val="002B18DE"/>
    <w:rsid w:val="002C2671"/>
    <w:rsid w:val="002D6A24"/>
    <w:rsid w:val="002E3A32"/>
    <w:rsid w:val="002F65F0"/>
    <w:rsid w:val="00306CB5"/>
    <w:rsid w:val="0031384C"/>
    <w:rsid w:val="00316C99"/>
    <w:rsid w:val="00354DAE"/>
    <w:rsid w:val="00361E3B"/>
    <w:rsid w:val="00383A5F"/>
    <w:rsid w:val="003B00E3"/>
    <w:rsid w:val="003B3C70"/>
    <w:rsid w:val="003C1104"/>
    <w:rsid w:val="003F6A2C"/>
    <w:rsid w:val="004235FD"/>
    <w:rsid w:val="00437F50"/>
    <w:rsid w:val="004708F0"/>
    <w:rsid w:val="0047498D"/>
    <w:rsid w:val="00481161"/>
    <w:rsid w:val="0048549D"/>
    <w:rsid w:val="0049575F"/>
    <w:rsid w:val="00496711"/>
    <w:rsid w:val="004F76C9"/>
    <w:rsid w:val="00507E8A"/>
    <w:rsid w:val="0053479D"/>
    <w:rsid w:val="00534C2B"/>
    <w:rsid w:val="005422A8"/>
    <w:rsid w:val="005465FC"/>
    <w:rsid w:val="005702B2"/>
    <w:rsid w:val="005958B2"/>
    <w:rsid w:val="005B279A"/>
    <w:rsid w:val="005B6638"/>
    <w:rsid w:val="005E1181"/>
    <w:rsid w:val="005F6B3E"/>
    <w:rsid w:val="006207C2"/>
    <w:rsid w:val="00656F95"/>
    <w:rsid w:val="006628F7"/>
    <w:rsid w:val="00675B0F"/>
    <w:rsid w:val="006863B3"/>
    <w:rsid w:val="00693A87"/>
    <w:rsid w:val="006D59B2"/>
    <w:rsid w:val="00711337"/>
    <w:rsid w:val="0071751D"/>
    <w:rsid w:val="007179F3"/>
    <w:rsid w:val="00721062"/>
    <w:rsid w:val="007416A9"/>
    <w:rsid w:val="00746E32"/>
    <w:rsid w:val="00757250"/>
    <w:rsid w:val="00794B71"/>
    <w:rsid w:val="007A0567"/>
    <w:rsid w:val="007A2094"/>
    <w:rsid w:val="007D6C11"/>
    <w:rsid w:val="007D7E74"/>
    <w:rsid w:val="007E2B49"/>
    <w:rsid w:val="007F4940"/>
    <w:rsid w:val="00822785"/>
    <w:rsid w:val="0083677D"/>
    <w:rsid w:val="0084099A"/>
    <w:rsid w:val="008463F4"/>
    <w:rsid w:val="008848D7"/>
    <w:rsid w:val="00892382"/>
    <w:rsid w:val="0089368F"/>
    <w:rsid w:val="008D048D"/>
    <w:rsid w:val="009230F7"/>
    <w:rsid w:val="009240F7"/>
    <w:rsid w:val="00963EA9"/>
    <w:rsid w:val="009F4E11"/>
    <w:rsid w:val="00A064D7"/>
    <w:rsid w:val="00A06D41"/>
    <w:rsid w:val="00A109F3"/>
    <w:rsid w:val="00A44616"/>
    <w:rsid w:val="00A7238B"/>
    <w:rsid w:val="00A74DE1"/>
    <w:rsid w:val="00A94461"/>
    <w:rsid w:val="00AD718D"/>
    <w:rsid w:val="00AE0D9F"/>
    <w:rsid w:val="00B17FAA"/>
    <w:rsid w:val="00B85F94"/>
    <w:rsid w:val="00B902EF"/>
    <w:rsid w:val="00BA7A3F"/>
    <w:rsid w:val="00BC7B08"/>
    <w:rsid w:val="00BD1CC7"/>
    <w:rsid w:val="00C03C2C"/>
    <w:rsid w:val="00C163C6"/>
    <w:rsid w:val="00C30470"/>
    <w:rsid w:val="00C373F9"/>
    <w:rsid w:val="00CC7313"/>
    <w:rsid w:val="00CD274F"/>
    <w:rsid w:val="00D22103"/>
    <w:rsid w:val="00D37ADE"/>
    <w:rsid w:val="00D57831"/>
    <w:rsid w:val="00D82D12"/>
    <w:rsid w:val="00D90936"/>
    <w:rsid w:val="00DA154B"/>
    <w:rsid w:val="00DA2F33"/>
    <w:rsid w:val="00DA34E3"/>
    <w:rsid w:val="00DB162D"/>
    <w:rsid w:val="00DC6492"/>
    <w:rsid w:val="00DD19E3"/>
    <w:rsid w:val="00DF04C4"/>
    <w:rsid w:val="00E27953"/>
    <w:rsid w:val="00E3268F"/>
    <w:rsid w:val="00E37E2B"/>
    <w:rsid w:val="00E94270"/>
    <w:rsid w:val="00EE48E1"/>
    <w:rsid w:val="00EF3AE2"/>
    <w:rsid w:val="00EF5D3F"/>
    <w:rsid w:val="00EF6B5F"/>
    <w:rsid w:val="00F00657"/>
    <w:rsid w:val="00F23127"/>
    <w:rsid w:val="00F42E3A"/>
    <w:rsid w:val="00F73D24"/>
    <w:rsid w:val="00F97836"/>
    <w:rsid w:val="00FB3FA1"/>
    <w:rsid w:val="00FC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EA364D4-8100-481D-ABBB-B0F3DE0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39"/>
    <w:rsid w:val="003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09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7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98D"/>
  </w:style>
  <w:style w:type="paragraph" w:styleId="Footer">
    <w:name w:val="footer"/>
    <w:basedOn w:val="Normal"/>
    <w:link w:val="FooterChar"/>
    <w:uiPriority w:val="99"/>
    <w:semiHidden/>
    <w:unhideWhenUsed/>
    <w:rsid w:val="0047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LIBDL-13</cp:lastModifiedBy>
  <cp:revision>98</cp:revision>
  <cp:lastPrinted>2019-04-10T10:53:00Z</cp:lastPrinted>
  <dcterms:created xsi:type="dcterms:W3CDTF">2017-07-15T02:46:00Z</dcterms:created>
  <dcterms:modified xsi:type="dcterms:W3CDTF">2022-05-24T05:28:00Z</dcterms:modified>
</cp:coreProperties>
</file>