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963"/>
        <w:gridCol w:w="963"/>
      </w:tblGrid>
      <w:tr w:rsidR="00675166" w:rsidTr="00675166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675166" w:rsidRDefault="00675166"/>
        </w:tc>
        <w:tc>
          <w:tcPr>
            <w:tcW w:w="2260" w:type="dxa"/>
            <w:noWrap/>
            <w:vAlign w:val="bottom"/>
            <w:hideMark/>
          </w:tcPr>
          <w:p w:rsidR="00675166" w:rsidRDefault="00675166"/>
        </w:tc>
        <w:tc>
          <w:tcPr>
            <w:tcW w:w="260" w:type="dxa"/>
            <w:noWrap/>
            <w:vAlign w:val="bottom"/>
            <w:hideMark/>
          </w:tcPr>
          <w:p w:rsidR="00675166" w:rsidRDefault="00675166"/>
        </w:tc>
        <w:tc>
          <w:tcPr>
            <w:tcW w:w="2568" w:type="dxa"/>
            <w:noWrap/>
            <w:vAlign w:val="bottom"/>
            <w:hideMark/>
          </w:tcPr>
          <w:p w:rsidR="00675166" w:rsidRDefault="00675166"/>
        </w:tc>
        <w:tc>
          <w:tcPr>
            <w:tcW w:w="963" w:type="dxa"/>
            <w:noWrap/>
            <w:vAlign w:val="bottom"/>
            <w:hideMark/>
          </w:tcPr>
          <w:p w:rsidR="00675166" w:rsidRDefault="00675166"/>
        </w:tc>
        <w:tc>
          <w:tcPr>
            <w:tcW w:w="963" w:type="dxa"/>
            <w:noWrap/>
            <w:vAlign w:val="bottom"/>
            <w:hideMark/>
          </w:tcPr>
          <w:p w:rsidR="00675166" w:rsidRDefault="00675166"/>
        </w:tc>
        <w:tc>
          <w:tcPr>
            <w:tcW w:w="963" w:type="dxa"/>
            <w:noWrap/>
            <w:vAlign w:val="bottom"/>
            <w:hideMark/>
          </w:tcPr>
          <w:p w:rsidR="00675166" w:rsidRDefault="00675166"/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bottom"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675166">
              <w:trPr>
                <w:trHeight w:val="300"/>
                <w:tblCellSpacing w:w="0" w:type="dxa"/>
              </w:trPr>
              <w:tc>
                <w:tcPr>
                  <w:tcW w:w="820" w:type="dxa"/>
                  <w:noWrap/>
                  <w:vAlign w:val="center"/>
                  <w:hideMark/>
                </w:tcPr>
                <w:p w:rsidR="00675166" w:rsidRDefault="006751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  <w:lang w:val="en-IN" w:eastAsia="en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5080</wp:posOffset>
                        </wp:positionV>
                        <wp:extent cx="987425" cy="788035"/>
                        <wp:effectExtent l="0" t="0" r="3175" b="0"/>
                        <wp:wrapNone/>
                        <wp:docPr id="1" name="Picture 1" descr="Description: Description: col LOGO outl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Description: col LOGO outl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7425" cy="78803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5457" w:type="dxa"/>
            <w:gridSpan w:val="4"/>
            <w:vMerge w:val="restart"/>
            <w:noWrap/>
            <w:vAlign w:val="bottom"/>
            <w:hideMark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-26670</wp:posOffset>
                      </wp:positionV>
                      <wp:extent cx="1914525" cy="704850"/>
                      <wp:effectExtent l="0" t="0" r="28575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5166" w:rsidRDefault="00675166" w:rsidP="006751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>Register Number:</w:t>
                                  </w:r>
                                </w:p>
                                <w:p w:rsidR="00675166" w:rsidRDefault="00675166" w:rsidP="00675166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N"/>
                                    </w:rPr>
                                    <w:t xml:space="preserve">Date: 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35pt;margin-top:-2.1pt;width:150.7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">
                      <v:textbox>
                        <w:txbxContent>
                          <w:p w:rsidR="00675166" w:rsidRDefault="00675166" w:rsidP="006751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675166" w:rsidRDefault="00675166" w:rsidP="0067516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 xml:space="preserve">Date: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center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675166" w:rsidRDefault="00675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5166" w:rsidTr="00675166">
        <w:trPr>
          <w:trHeight w:val="300"/>
        </w:trPr>
        <w:tc>
          <w:tcPr>
            <w:tcW w:w="1036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</w:tr>
      <w:tr w:rsidR="00675166" w:rsidTr="00675166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75166" w:rsidRDefault="0067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675166" w:rsidTr="00675166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75166" w:rsidRDefault="007357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B.COM- I</w:t>
            </w:r>
            <w:r w:rsidR="00675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SEMESTER</w:t>
            </w:r>
          </w:p>
        </w:tc>
      </w:tr>
      <w:tr w:rsidR="00675166" w:rsidTr="00675166">
        <w:trPr>
          <w:trHeight w:val="300"/>
        </w:trPr>
        <w:tc>
          <w:tcPr>
            <w:tcW w:w="9013" w:type="dxa"/>
            <w:gridSpan w:val="7"/>
            <w:noWrap/>
            <w:vAlign w:val="center"/>
            <w:hideMark/>
          </w:tcPr>
          <w:p w:rsidR="00675166" w:rsidRDefault="0067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2019</w:t>
            </w:r>
          </w:p>
        </w:tc>
      </w:tr>
      <w:tr w:rsidR="00675166" w:rsidTr="00675166">
        <w:trPr>
          <w:trHeight w:val="315"/>
        </w:trPr>
        <w:tc>
          <w:tcPr>
            <w:tcW w:w="9013" w:type="dxa"/>
            <w:gridSpan w:val="7"/>
            <w:noWrap/>
            <w:vAlign w:val="center"/>
            <w:hideMark/>
          </w:tcPr>
          <w:p w:rsidR="00675166" w:rsidRDefault="00DC10CC" w:rsidP="006751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BC/BPS 2218</w:t>
            </w:r>
            <w:r w:rsidR="00675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– CORPORATE </w:t>
            </w:r>
            <w:r w:rsidR="005047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LAW AND </w:t>
            </w:r>
            <w:r w:rsidR="006751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ADMINSTRATION </w:t>
            </w:r>
          </w:p>
        </w:tc>
      </w:tr>
      <w:tr w:rsidR="00675166" w:rsidTr="00675166">
        <w:trPr>
          <w:trHeight w:val="315"/>
        </w:trPr>
        <w:tc>
          <w:tcPr>
            <w:tcW w:w="1036" w:type="dxa"/>
            <w:noWrap/>
            <w:vAlign w:val="center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2568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</w:tr>
      <w:tr w:rsidR="00675166" w:rsidTr="00675166">
        <w:trPr>
          <w:trHeight w:val="315"/>
        </w:trPr>
        <w:tc>
          <w:tcPr>
            <w:tcW w:w="3296" w:type="dxa"/>
            <w:gridSpan w:val="2"/>
            <w:noWrap/>
            <w:vAlign w:val="center"/>
            <w:hideMark/>
          </w:tcPr>
          <w:p w:rsidR="00675166" w:rsidRDefault="00675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hrs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60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  <w:tc>
          <w:tcPr>
            <w:tcW w:w="4494" w:type="dxa"/>
            <w:gridSpan w:val="3"/>
            <w:noWrap/>
            <w:vAlign w:val="center"/>
            <w:hideMark/>
          </w:tcPr>
          <w:p w:rsidR="00675166" w:rsidRDefault="006751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Marks-70</w:t>
            </w:r>
          </w:p>
        </w:tc>
        <w:tc>
          <w:tcPr>
            <w:tcW w:w="963" w:type="dxa"/>
            <w:noWrap/>
            <w:vAlign w:val="bottom"/>
            <w:hideMark/>
          </w:tcPr>
          <w:p w:rsidR="00675166" w:rsidRDefault="00675166">
            <w:pPr>
              <w:spacing w:after="0"/>
            </w:pPr>
          </w:p>
        </w:tc>
      </w:tr>
    </w:tbl>
    <w:p w:rsidR="00675166" w:rsidRDefault="00675166" w:rsidP="0067516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This paper contains __2_printed pages and four parts</w:t>
      </w:r>
    </w:p>
    <w:p w:rsidR="00675166" w:rsidRDefault="00675166" w:rsidP="00675166">
      <w:pPr>
        <w:jc w:val="center"/>
        <w:rPr>
          <w:rFonts w:ascii="Arial" w:hAnsi="Arial" w:cs="Arial"/>
          <w:b/>
          <w:sz w:val="24"/>
          <w:szCs w:val="24"/>
        </w:rPr>
      </w:pPr>
    </w:p>
    <w:p w:rsidR="00675166" w:rsidRDefault="00675166" w:rsidP="006751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675166" w:rsidRDefault="00675166" w:rsidP="006751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five the following questions: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5x2=1</w:t>
      </w:r>
      <w:r w:rsidR="007654C8">
        <w:rPr>
          <w:rFonts w:ascii="Arial" w:hAnsi="Arial" w:cs="Arial"/>
          <w:b/>
          <w:sz w:val="24"/>
          <w:szCs w:val="24"/>
        </w:rPr>
        <w:t>0</w:t>
      </w:r>
    </w:p>
    <w:p w:rsidR="00504780" w:rsidRPr="00664936" w:rsidRDefault="00116A04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</w:t>
      </w:r>
      <w:r w:rsidR="000D7C68" w:rsidRPr="00664936">
        <w:rPr>
          <w:rFonts w:ascii="Arial" w:hAnsi="Arial" w:cs="Arial"/>
        </w:rPr>
        <w:t xml:space="preserve"> ‘</w:t>
      </w:r>
      <w:r w:rsidR="0062586E">
        <w:rPr>
          <w:rFonts w:ascii="Arial" w:hAnsi="Arial" w:cs="Arial"/>
        </w:rPr>
        <w:t>One P</w:t>
      </w:r>
      <w:r w:rsidR="00395D72">
        <w:rPr>
          <w:rFonts w:ascii="Arial" w:hAnsi="Arial" w:cs="Arial"/>
        </w:rPr>
        <w:t xml:space="preserve">erson </w:t>
      </w:r>
      <w:r w:rsidR="000D7C68" w:rsidRPr="00664936">
        <w:rPr>
          <w:rFonts w:ascii="Arial" w:hAnsi="Arial" w:cs="Arial"/>
        </w:rPr>
        <w:t>Company’</w:t>
      </w:r>
      <w:r>
        <w:rPr>
          <w:rFonts w:ascii="Arial" w:hAnsi="Arial" w:cs="Arial"/>
        </w:rPr>
        <w:t xml:space="preserve"> according to Companies Act, 2013.</w:t>
      </w:r>
    </w:p>
    <w:p w:rsidR="000D7C68" w:rsidRPr="00664936" w:rsidRDefault="000D7C68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4936">
        <w:rPr>
          <w:rFonts w:ascii="Arial" w:hAnsi="Arial" w:cs="Arial"/>
        </w:rPr>
        <w:t xml:space="preserve">Give </w:t>
      </w:r>
      <w:r w:rsidR="00B656FD">
        <w:rPr>
          <w:rFonts w:ascii="Arial" w:hAnsi="Arial" w:cs="Arial"/>
        </w:rPr>
        <w:t xml:space="preserve">four </w:t>
      </w:r>
      <w:r w:rsidRPr="00664936">
        <w:rPr>
          <w:rFonts w:ascii="Arial" w:hAnsi="Arial" w:cs="Arial"/>
        </w:rPr>
        <w:t>examples of statutory companies functioning in India.</w:t>
      </w:r>
    </w:p>
    <w:p w:rsidR="009960E0" w:rsidRDefault="0048553E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is a Statement in lieu of prospectus? When is it issued?</w:t>
      </w:r>
    </w:p>
    <w:p w:rsidR="000D7C68" w:rsidRPr="00664936" w:rsidRDefault="000D7C68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4936">
        <w:rPr>
          <w:rFonts w:ascii="Arial" w:hAnsi="Arial" w:cs="Arial"/>
        </w:rPr>
        <w:t xml:space="preserve">Mention any two </w:t>
      </w:r>
      <w:r w:rsidR="00CF28CB" w:rsidRPr="00664936">
        <w:rPr>
          <w:rFonts w:ascii="Arial" w:hAnsi="Arial" w:cs="Arial"/>
        </w:rPr>
        <w:t>objects of holding an Annual General Meeting.</w:t>
      </w:r>
    </w:p>
    <w:p w:rsidR="009960E0" w:rsidRDefault="009960E0" w:rsidP="008B7E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4936">
        <w:rPr>
          <w:rFonts w:ascii="Arial" w:hAnsi="Arial" w:cs="Arial"/>
        </w:rPr>
        <w:t>Distinguish between</w:t>
      </w:r>
      <w:r>
        <w:rPr>
          <w:rFonts w:ascii="Arial" w:hAnsi="Arial" w:cs="Arial"/>
        </w:rPr>
        <w:t xml:space="preserve"> a managing director and a whole time director.</w:t>
      </w:r>
    </w:p>
    <w:p w:rsidR="008B7E72" w:rsidRPr="008B7E72" w:rsidRDefault="00FE6134" w:rsidP="008B7E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4936">
        <w:rPr>
          <w:rFonts w:ascii="Arial" w:hAnsi="Arial" w:cs="Arial"/>
        </w:rPr>
        <w:t xml:space="preserve">State the quorum requirements of a </w:t>
      </w:r>
      <w:r w:rsidR="00392754">
        <w:rPr>
          <w:rFonts w:ascii="Arial" w:hAnsi="Arial" w:cs="Arial"/>
        </w:rPr>
        <w:t xml:space="preserve">public </w:t>
      </w:r>
      <w:r w:rsidRPr="00664936">
        <w:rPr>
          <w:rFonts w:ascii="Arial" w:hAnsi="Arial" w:cs="Arial"/>
        </w:rPr>
        <w:t xml:space="preserve">company under Companies Act, 2013. </w:t>
      </w:r>
    </w:p>
    <w:p w:rsidR="008B7E72" w:rsidRDefault="008B7E72" w:rsidP="008B7E72">
      <w:pPr>
        <w:jc w:val="center"/>
        <w:rPr>
          <w:rFonts w:ascii="Arial" w:hAnsi="Arial" w:cs="Arial"/>
          <w:b/>
          <w:sz w:val="24"/>
          <w:szCs w:val="24"/>
        </w:rPr>
      </w:pPr>
    </w:p>
    <w:p w:rsidR="008B7E72" w:rsidRDefault="00675166" w:rsidP="008B7E7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B</w:t>
      </w:r>
    </w:p>
    <w:p w:rsidR="00675166" w:rsidRDefault="00675166" w:rsidP="006751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three of the following questions:                            3x5=15</w:t>
      </w:r>
    </w:p>
    <w:p w:rsidR="00EF24AB" w:rsidRDefault="00EF24AB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Define </w:t>
      </w:r>
      <w:r w:rsidR="007F3661">
        <w:rPr>
          <w:rFonts w:ascii="Arial" w:hAnsi="Arial" w:cs="Arial"/>
        </w:rPr>
        <w:t xml:space="preserve">a private company and state the special privileges which it enjoys under the Companies </w:t>
      </w:r>
      <w:r w:rsidR="008624FD">
        <w:rPr>
          <w:rFonts w:ascii="Arial" w:hAnsi="Arial" w:cs="Arial"/>
        </w:rPr>
        <w:t>Act,</w:t>
      </w:r>
      <w:r w:rsidR="007F3661">
        <w:rPr>
          <w:rFonts w:ascii="Arial" w:hAnsi="Arial" w:cs="Arial"/>
        </w:rPr>
        <w:t xml:space="preserve"> 2013.</w:t>
      </w:r>
    </w:p>
    <w:p w:rsidR="008624FD" w:rsidRDefault="00C34ADC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d</w:t>
      </w:r>
      <w:r w:rsidR="0033065C">
        <w:rPr>
          <w:rFonts w:ascii="Arial" w:hAnsi="Arial" w:cs="Arial"/>
        </w:rPr>
        <w:t>octrine of ultra vires</w:t>
      </w:r>
      <w:r>
        <w:rPr>
          <w:rFonts w:ascii="Arial" w:hAnsi="Arial" w:cs="Arial"/>
        </w:rPr>
        <w:t xml:space="preserve"> of a company. What are </w:t>
      </w:r>
      <w:r w:rsidR="00817770">
        <w:rPr>
          <w:rFonts w:ascii="Arial" w:hAnsi="Arial" w:cs="Arial"/>
        </w:rPr>
        <w:t xml:space="preserve">the consequences of </w:t>
      </w:r>
      <w:r>
        <w:rPr>
          <w:rFonts w:ascii="Arial" w:hAnsi="Arial" w:cs="Arial"/>
        </w:rPr>
        <w:t>ultra vires act?</w:t>
      </w:r>
    </w:p>
    <w:p w:rsidR="008624FD" w:rsidRDefault="00AF5330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Briefly discuss t</w:t>
      </w:r>
      <w:r w:rsidR="00DC6048">
        <w:rPr>
          <w:rFonts w:ascii="Arial" w:hAnsi="Arial" w:cs="Arial"/>
        </w:rPr>
        <w:t>he provisions of the Companies A</w:t>
      </w:r>
      <w:r>
        <w:rPr>
          <w:rFonts w:ascii="Arial" w:hAnsi="Arial" w:cs="Arial"/>
        </w:rPr>
        <w:t>ct,</w:t>
      </w:r>
      <w:r w:rsidR="00DC6048">
        <w:rPr>
          <w:rFonts w:ascii="Arial" w:hAnsi="Arial" w:cs="Arial"/>
        </w:rPr>
        <w:t xml:space="preserve"> 2013</w:t>
      </w:r>
      <w:r>
        <w:rPr>
          <w:rFonts w:ascii="Arial" w:hAnsi="Arial" w:cs="Arial"/>
        </w:rPr>
        <w:t xml:space="preserve"> regarding</w:t>
      </w:r>
      <w:r w:rsidR="00DC6048">
        <w:rPr>
          <w:rFonts w:ascii="Arial" w:hAnsi="Arial" w:cs="Arial"/>
        </w:rPr>
        <w:t xml:space="preserve"> appointment of directors of</w:t>
      </w:r>
      <w:r>
        <w:rPr>
          <w:rFonts w:ascii="Arial" w:hAnsi="Arial" w:cs="Arial"/>
        </w:rPr>
        <w:t xml:space="preserve"> company.</w:t>
      </w:r>
    </w:p>
    <w:p w:rsidR="00664936" w:rsidRDefault="00C34ADC" w:rsidP="008B7E7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Explain different modes of w</w:t>
      </w:r>
      <w:r w:rsidR="00AF5330">
        <w:rPr>
          <w:rFonts w:ascii="Arial" w:hAnsi="Arial" w:cs="Arial"/>
        </w:rPr>
        <w:t>inding up</w:t>
      </w:r>
      <w:r>
        <w:rPr>
          <w:rFonts w:ascii="Arial" w:hAnsi="Arial" w:cs="Arial"/>
        </w:rPr>
        <w:t xml:space="preserve"> of a company.</w:t>
      </w:r>
    </w:p>
    <w:p w:rsidR="008B7E72" w:rsidRDefault="008B7E72" w:rsidP="008B7E72">
      <w:pPr>
        <w:pStyle w:val="ListParagraph"/>
        <w:ind w:left="1440"/>
        <w:rPr>
          <w:rFonts w:ascii="Arial" w:hAnsi="Arial" w:cs="Arial"/>
        </w:rPr>
      </w:pPr>
    </w:p>
    <w:p w:rsidR="00AA4A39" w:rsidRDefault="00AA4A39" w:rsidP="008B7E72">
      <w:pPr>
        <w:pStyle w:val="ListParagraph"/>
        <w:ind w:left="1440"/>
        <w:rPr>
          <w:rFonts w:ascii="Arial" w:hAnsi="Arial" w:cs="Arial"/>
        </w:rPr>
      </w:pPr>
    </w:p>
    <w:p w:rsidR="00AA4A39" w:rsidRDefault="00AA4A39" w:rsidP="008B7E72">
      <w:pPr>
        <w:pStyle w:val="ListParagraph"/>
        <w:ind w:left="1440"/>
        <w:rPr>
          <w:rFonts w:ascii="Arial" w:hAnsi="Arial" w:cs="Arial"/>
        </w:rPr>
      </w:pPr>
    </w:p>
    <w:p w:rsidR="00AA4A39" w:rsidRDefault="00AA4A39" w:rsidP="008B7E72">
      <w:pPr>
        <w:pStyle w:val="ListParagraph"/>
        <w:ind w:left="1440"/>
        <w:rPr>
          <w:rFonts w:ascii="Arial" w:hAnsi="Arial" w:cs="Arial"/>
        </w:rPr>
      </w:pPr>
    </w:p>
    <w:p w:rsidR="00AA4A39" w:rsidRPr="008B7E72" w:rsidRDefault="00AA4A39" w:rsidP="008B7E72">
      <w:pPr>
        <w:pStyle w:val="ListParagraph"/>
        <w:ind w:left="1440"/>
        <w:rPr>
          <w:rFonts w:ascii="Arial" w:hAnsi="Arial" w:cs="Arial"/>
        </w:rPr>
      </w:pPr>
    </w:p>
    <w:p w:rsidR="00675166" w:rsidRDefault="00675166" w:rsidP="006751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C</w:t>
      </w:r>
    </w:p>
    <w:p w:rsidR="00675166" w:rsidRDefault="0082791A" w:rsidP="006751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="00675166">
        <w:rPr>
          <w:rFonts w:ascii="Arial" w:hAnsi="Arial" w:cs="Arial"/>
          <w:b/>
          <w:sz w:val="24"/>
          <w:szCs w:val="24"/>
        </w:rPr>
        <w:t xml:space="preserve"> of</w:t>
      </w:r>
      <w:r>
        <w:rPr>
          <w:rFonts w:ascii="Arial" w:hAnsi="Arial" w:cs="Arial"/>
          <w:b/>
          <w:sz w:val="24"/>
          <w:szCs w:val="24"/>
        </w:rPr>
        <w:t xml:space="preserve"> the following: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2x15=30</w:t>
      </w:r>
    </w:p>
    <w:p w:rsidR="00664936" w:rsidRPr="00664936" w:rsidRDefault="00664936" w:rsidP="0066493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64936">
        <w:rPr>
          <w:rFonts w:ascii="Arial" w:hAnsi="Arial" w:cs="Arial"/>
        </w:rPr>
        <w:t>Enumerate the different steps to be taken by the promoters from the formation of a company to the commencement of business.</w:t>
      </w:r>
    </w:p>
    <w:p w:rsidR="00675166" w:rsidRDefault="00295DB4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C2459">
        <w:rPr>
          <w:rFonts w:ascii="Arial" w:hAnsi="Arial" w:cs="Arial"/>
          <w:b/>
        </w:rPr>
        <w:t>‘Memorandum of association is a charter of the company’</w:t>
      </w:r>
      <w:r>
        <w:rPr>
          <w:rFonts w:ascii="Arial" w:hAnsi="Arial" w:cs="Arial"/>
        </w:rPr>
        <w:t>. Comment on this statement and explain the clauses which are included in memorandum of association of a company.</w:t>
      </w:r>
    </w:p>
    <w:p w:rsidR="00675166" w:rsidRDefault="008C2459" w:rsidP="0067516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the term ‘Company Secretary’. State the qualifications which a company secretary must possess. Also discuss his duties and responsibilities.</w:t>
      </w:r>
    </w:p>
    <w:p w:rsidR="00675166" w:rsidRDefault="00675166" w:rsidP="00675166">
      <w:pPr>
        <w:pStyle w:val="ListParagraph"/>
        <w:ind w:left="1080"/>
        <w:rPr>
          <w:rFonts w:ascii="Arial" w:hAnsi="Arial" w:cs="Arial"/>
        </w:rPr>
      </w:pPr>
    </w:p>
    <w:p w:rsidR="00675166" w:rsidRDefault="00675166" w:rsidP="00675166">
      <w:pPr>
        <w:ind w:left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675166" w:rsidRDefault="00675166" w:rsidP="0067516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the following question: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1x15=15</w:t>
      </w:r>
    </w:p>
    <w:p w:rsidR="00D112ED" w:rsidRDefault="00C57106" w:rsidP="00F4464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765189">
        <w:rPr>
          <w:rFonts w:ascii="Arial" w:hAnsi="Arial" w:cs="Arial"/>
        </w:rPr>
        <w:t xml:space="preserve">. </w:t>
      </w:r>
      <w:proofErr w:type="gramStart"/>
      <w:r w:rsidR="00765189">
        <w:rPr>
          <w:rFonts w:ascii="Arial" w:hAnsi="Arial" w:cs="Arial"/>
        </w:rPr>
        <w:t>a</w:t>
      </w:r>
      <w:proofErr w:type="gramEnd"/>
      <w:r w:rsidR="00077EB3">
        <w:rPr>
          <w:rFonts w:ascii="Arial" w:hAnsi="Arial" w:cs="Arial"/>
        </w:rPr>
        <w:t xml:space="preserve">) </w:t>
      </w:r>
      <w:r w:rsidR="00410FFB">
        <w:rPr>
          <w:rFonts w:ascii="Arial" w:hAnsi="Arial" w:cs="Arial"/>
        </w:rPr>
        <w:t>Mr.</w:t>
      </w:r>
      <w:r w:rsidR="00D112ED" w:rsidRPr="00D112ED">
        <w:rPr>
          <w:rFonts w:ascii="Arial" w:hAnsi="Arial" w:cs="Arial"/>
          <w:lang w:val="en-IN"/>
        </w:rPr>
        <w:t xml:space="preserve">D was a wealthy man getting huge dividend and interest income. In order to avoid tax, he formed 4 private companies and agreed with each to hold a block of investments as an agent for them. </w:t>
      </w:r>
      <w:r w:rsidR="00765189" w:rsidRPr="00D112ED">
        <w:rPr>
          <w:rFonts w:ascii="Arial" w:hAnsi="Arial" w:cs="Arial"/>
          <w:lang w:val="en-IN"/>
        </w:rPr>
        <w:t>Div</w:t>
      </w:r>
      <w:r w:rsidR="00765189">
        <w:rPr>
          <w:rFonts w:ascii="Arial" w:hAnsi="Arial" w:cs="Arial"/>
          <w:lang w:val="en-IN"/>
        </w:rPr>
        <w:t>idend</w:t>
      </w:r>
      <w:r w:rsidR="00765189" w:rsidRPr="00D112ED">
        <w:rPr>
          <w:rFonts w:ascii="Arial" w:hAnsi="Arial" w:cs="Arial"/>
          <w:lang w:val="en-IN"/>
        </w:rPr>
        <w:t>s received were</w:t>
      </w:r>
      <w:r w:rsidR="00D112ED" w:rsidRPr="00D112ED">
        <w:rPr>
          <w:rFonts w:ascii="Arial" w:hAnsi="Arial" w:cs="Arial"/>
          <w:lang w:val="en-IN"/>
        </w:rPr>
        <w:t xml:space="preserve"> credited in the co a/c and the amount was handed back to him as a loan.</w:t>
      </w:r>
      <w:r w:rsidR="00765189">
        <w:rPr>
          <w:rFonts w:ascii="Arial" w:hAnsi="Arial" w:cs="Arial"/>
          <w:lang w:val="en-IN"/>
        </w:rPr>
        <w:t xml:space="preserve"> What are the legal consequ</w:t>
      </w:r>
      <w:r w:rsidR="004A536C">
        <w:rPr>
          <w:rFonts w:ascii="Arial" w:hAnsi="Arial" w:cs="Arial"/>
          <w:lang w:val="en-IN"/>
        </w:rPr>
        <w:t xml:space="preserve">ences that </w:t>
      </w:r>
      <w:proofErr w:type="spellStart"/>
      <w:r w:rsidR="004A536C">
        <w:rPr>
          <w:rFonts w:ascii="Arial" w:hAnsi="Arial" w:cs="Arial"/>
          <w:lang w:val="en-IN"/>
        </w:rPr>
        <w:t>Mr.D</w:t>
      </w:r>
      <w:proofErr w:type="spellEnd"/>
      <w:r w:rsidR="004A536C">
        <w:rPr>
          <w:rFonts w:ascii="Arial" w:hAnsi="Arial" w:cs="Arial"/>
          <w:lang w:val="en-IN"/>
        </w:rPr>
        <w:t xml:space="preserve"> h</w:t>
      </w:r>
      <w:bookmarkStart w:id="0" w:name="_GoBack"/>
      <w:bookmarkEnd w:id="0"/>
      <w:r w:rsidR="004A536C">
        <w:rPr>
          <w:rFonts w:ascii="Arial" w:hAnsi="Arial" w:cs="Arial"/>
          <w:lang w:val="en-IN"/>
        </w:rPr>
        <w:t>as to face? (5</w:t>
      </w:r>
      <w:r w:rsidR="00765189">
        <w:rPr>
          <w:rFonts w:ascii="Arial" w:hAnsi="Arial" w:cs="Arial"/>
          <w:lang w:val="en-IN"/>
        </w:rPr>
        <w:t>marks)</w:t>
      </w:r>
      <w:r w:rsidR="001075AB">
        <w:rPr>
          <w:rFonts w:ascii="Arial" w:hAnsi="Arial" w:cs="Arial"/>
          <w:lang w:val="en-IN"/>
        </w:rPr>
        <w:t>.</w:t>
      </w:r>
    </w:p>
    <w:p w:rsidR="008B7E72" w:rsidRDefault="00077EB3" w:rsidP="00F4464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410FFB">
        <w:rPr>
          <w:rFonts w:ascii="Arial" w:hAnsi="Arial" w:cs="Arial"/>
        </w:rPr>
        <w:t xml:space="preserve"> Mr.</w:t>
      </w:r>
      <w:r>
        <w:rPr>
          <w:rFonts w:ascii="Arial" w:hAnsi="Arial" w:cs="Arial"/>
        </w:rPr>
        <w:t xml:space="preserve"> </w:t>
      </w:r>
      <w:r w:rsidR="004A536C">
        <w:rPr>
          <w:rFonts w:ascii="Arial" w:hAnsi="Arial" w:cs="Arial"/>
        </w:rPr>
        <w:t>X, a solicitor on the instructions of promoters who became the directors of the company prepared the Memorandum and Articles before its formation. X claims his costs and charges from the company. The company refuses to pay o</w:t>
      </w:r>
      <w:r w:rsidR="003F391B">
        <w:rPr>
          <w:rFonts w:ascii="Arial" w:hAnsi="Arial" w:cs="Arial"/>
        </w:rPr>
        <w:t>n the ground that it was not in</w:t>
      </w:r>
      <w:r w:rsidR="004A536C">
        <w:rPr>
          <w:rFonts w:ascii="Arial" w:hAnsi="Arial" w:cs="Arial"/>
        </w:rPr>
        <w:t xml:space="preserve"> existence when he was appointed. Will the contention of the company succeed?</w:t>
      </w:r>
      <w:r w:rsidR="00862B6C">
        <w:rPr>
          <w:rFonts w:ascii="Arial" w:hAnsi="Arial" w:cs="Arial"/>
        </w:rPr>
        <w:t xml:space="preserve"> (5 marks)</w:t>
      </w:r>
    </w:p>
    <w:p w:rsidR="00862B6C" w:rsidRDefault="00862B6C" w:rsidP="00F44647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410FFB">
        <w:rPr>
          <w:rFonts w:ascii="Arial" w:hAnsi="Arial" w:cs="Arial"/>
        </w:rPr>
        <w:t xml:space="preserve"> Mr.</w:t>
      </w:r>
      <w:r>
        <w:rPr>
          <w:rFonts w:ascii="Arial" w:hAnsi="Arial" w:cs="Arial"/>
        </w:rPr>
        <w:t xml:space="preserve"> </w:t>
      </w:r>
      <w:proofErr w:type="gramStart"/>
      <w:r w:rsidR="00410FFB">
        <w:rPr>
          <w:rFonts w:ascii="Arial" w:hAnsi="Arial" w:cs="Arial"/>
        </w:rPr>
        <w:t>A</w:t>
      </w:r>
      <w:proofErr w:type="gramEnd"/>
      <w:r w:rsidR="00410FFB">
        <w:rPr>
          <w:rFonts w:ascii="Arial" w:hAnsi="Arial" w:cs="Arial"/>
        </w:rPr>
        <w:t xml:space="preserve"> applied for certain shares of a company on the basis of a prospectus containing the names of the directors. Some of the directors retired before the shares could be allotted. Can A set aside the contract?</w:t>
      </w:r>
      <w:r w:rsidR="00EE5F58">
        <w:rPr>
          <w:rFonts w:ascii="Arial" w:hAnsi="Arial" w:cs="Arial"/>
        </w:rPr>
        <w:t xml:space="preserve"> (5 marks)</w:t>
      </w:r>
    </w:p>
    <w:p w:rsidR="00675166" w:rsidRDefault="00675166" w:rsidP="00F44647">
      <w:pPr>
        <w:jc w:val="both"/>
        <w:rPr>
          <w:rFonts w:ascii="Arial" w:hAnsi="Arial" w:cs="Arial"/>
        </w:rPr>
      </w:pPr>
    </w:p>
    <w:p w:rsidR="00675166" w:rsidRDefault="00675166" w:rsidP="00675166">
      <w:pPr>
        <w:rPr>
          <w:rFonts w:ascii="Arial" w:hAnsi="Arial" w:cs="Arial"/>
        </w:rPr>
      </w:pPr>
    </w:p>
    <w:p w:rsidR="00675166" w:rsidRDefault="00675166" w:rsidP="00675166">
      <w:pPr>
        <w:rPr>
          <w:rFonts w:ascii="Arial" w:hAnsi="Arial" w:cs="Arial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1040130</wp:posOffset>
                </wp:positionV>
                <wp:extent cx="452183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68D0A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pt,81.9pt" to="423.1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" strokecolor="#4579b8 [3044]"/>
            </w:pict>
          </mc:Fallback>
        </mc:AlternateContent>
      </w:r>
    </w:p>
    <w:p w:rsidR="0027701E" w:rsidRDefault="0027701E"/>
    <w:sectPr w:rsidR="00277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83878"/>
    <w:multiLevelType w:val="hybridMultilevel"/>
    <w:tmpl w:val="17DEE9CC"/>
    <w:lvl w:ilvl="0" w:tplc="0D8858B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52A2C"/>
    <w:multiLevelType w:val="hybridMultilevel"/>
    <w:tmpl w:val="BCD0296C"/>
    <w:lvl w:ilvl="0" w:tplc="BE66F74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2F"/>
    <w:rsid w:val="00077EB3"/>
    <w:rsid w:val="000D7C68"/>
    <w:rsid w:val="000E380C"/>
    <w:rsid w:val="001075AB"/>
    <w:rsid w:val="00116A04"/>
    <w:rsid w:val="0027701E"/>
    <w:rsid w:val="00295DB4"/>
    <w:rsid w:val="0033065C"/>
    <w:rsid w:val="00363E2F"/>
    <w:rsid w:val="00392754"/>
    <w:rsid w:val="00395D72"/>
    <w:rsid w:val="003F391B"/>
    <w:rsid w:val="00410FFB"/>
    <w:rsid w:val="0048553E"/>
    <w:rsid w:val="004A536C"/>
    <w:rsid w:val="00504780"/>
    <w:rsid w:val="005B6827"/>
    <w:rsid w:val="0062586E"/>
    <w:rsid w:val="00664936"/>
    <w:rsid w:val="00675166"/>
    <w:rsid w:val="0073579C"/>
    <w:rsid w:val="00765189"/>
    <w:rsid w:val="007654C8"/>
    <w:rsid w:val="007F3661"/>
    <w:rsid w:val="00817770"/>
    <w:rsid w:val="0082791A"/>
    <w:rsid w:val="008624FD"/>
    <w:rsid w:val="00862B6C"/>
    <w:rsid w:val="008753D9"/>
    <w:rsid w:val="008B7E72"/>
    <w:rsid w:val="008C2459"/>
    <w:rsid w:val="00963329"/>
    <w:rsid w:val="009960E0"/>
    <w:rsid w:val="00A85130"/>
    <w:rsid w:val="00AA4A39"/>
    <w:rsid w:val="00AF5330"/>
    <w:rsid w:val="00B656FD"/>
    <w:rsid w:val="00C34ADC"/>
    <w:rsid w:val="00C57106"/>
    <w:rsid w:val="00CE5F34"/>
    <w:rsid w:val="00CF28CB"/>
    <w:rsid w:val="00D112ED"/>
    <w:rsid w:val="00DC10CC"/>
    <w:rsid w:val="00DC6048"/>
    <w:rsid w:val="00DD63FC"/>
    <w:rsid w:val="00E07563"/>
    <w:rsid w:val="00E72198"/>
    <w:rsid w:val="00EE5F58"/>
    <w:rsid w:val="00EF24AB"/>
    <w:rsid w:val="00F44647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4C4E3-45EE-4519-A027-9AA877C1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1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5166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DIVYA</cp:lastModifiedBy>
  <cp:revision>44</cp:revision>
  <dcterms:created xsi:type="dcterms:W3CDTF">2019-01-28T15:45:00Z</dcterms:created>
  <dcterms:modified xsi:type="dcterms:W3CDTF">2019-01-31T09:20:00Z</dcterms:modified>
</cp:coreProperties>
</file>