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DFA" w:rsidRPr="00143389" w:rsidRDefault="00277826" w:rsidP="00FE1DFA">
      <w:pPr>
        <w:rPr>
          <w:rFonts w:ascii="Arial" w:hAnsi="Arial" w:cs="Arial"/>
          <w:b/>
          <w:bCs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09.45pt;height:24.1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fefqySoCAABQBAAADgAAAAAAAAAAAAAAAAAsAgAAZHJzL2Uy&#10;b0RvYy54bWxQSwECLQAUAAYACAAAACEA16SiAN8AAAAKAQAADwAAAAAAAAAAAAAAAACCBAAAZHJz&#10;L2Rvd25yZXYueG1sUEsFBgAAAAAEAAQA8wAAAI4FAAAAAA==&#10;">
            <v:textbox>
              <w:txbxContent>
                <w:p w:rsidR="00270A6D" w:rsidRPr="00F57CBF" w:rsidRDefault="00270A6D" w:rsidP="00FE1DFA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t>DATE:</w:t>
                  </w:r>
                  <w:r w:rsidR="006A562A">
                    <w:t xml:space="preserve"> 29-6-19</w:t>
                  </w:r>
                </w:p>
              </w:txbxContent>
            </v:textbox>
          </v:shape>
        </w:pict>
      </w:r>
      <w:r w:rsidR="00FE1DFA">
        <w:rPr>
          <w:rFonts w:ascii="Arial" w:hAnsi="Arial" w:cs="Arial"/>
          <w:b/>
          <w:noProof/>
          <w:lang w:val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DFA" w:rsidRPr="00005F84" w:rsidRDefault="00FE1DFA" w:rsidP="00FE1D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05F84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FE1DFA" w:rsidRPr="00005F84" w:rsidRDefault="00FE1DFA" w:rsidP="00FE1DFA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B.Com</w:t>
      </w:r>
      <w:r w:rsidR="00BC7F35">
        <w:rPr>
          <w:rFonts w:ascii="Arial" w:hAnsi="Arial" w:cs="Arial"/>
          <w:b/>
          <w:sz w:val="24"/>
          <w:szCs w:val="24"/>
        </w:rPr>
        <w:t>– VI</w:t>
      </w:r>
      <w:r w:rsidRPr="00005F84">
        <w:rPr>
          <w:rFonts w:ascii="Arial" w:hAnsi="Arial" w:cs="Arial"/>
          <w:b/>
          <w:sz w:val="24"/>
          <w:szCs w:val="24"/>
        </w:rPr>
        <w:t xml:space="preserve"> SEMESTER</w:t>
      </w:r>
    </w:p>
    <w:p w:rsidR="006A562A" w:rsidRPr="009042A8" w:rsidRDefault="006A562A" w:rsidP="006A56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Supplementary Examination, JUNE 2019</w:t>
      </w:r>
    </w:p>
    <w:p w:rsidR="00BC7F35" w:rsidRDefault="00BC7F35" w:rsidP="00BC7F35">
      <w:pPr>
        <w:pStyle w:val="Title"/>
        <w:outlineLvl w:val="0"/>
        <w:rPr>
          <w:rFonts w:ascii="Arial" w:hAnsi="Arial" w:cs="Arial"/>
          <w:bCs w:val="0"/>
          <w:color w:val="180B3C"/>
          <w:u w:val="single"/>
        </w:rPr>
      </w:pPr>
      <w:r w:rsidRPr="007E66CF">
        <w:rPr>
          <w:rFonts w:ascii="Arial" w:hAnsi="Arial" w:cs="Arial"/>
          <w:bCs w:val="0"/>
          <w:color w:val="180B3C"/>
          <w:u w:val="single"/>
        </w:rPr>
        <w:t xml:space="preserve">BCDEF 6616: </w:t>
      </w:r>
      <w:r w:rsidR="00B05A75" w:rsidRPr="007E66CF">
        <w:rPr>
          <w:rFonts w:ascii="Arial" w:hAnsi="Arial" w:cs="Arial"/>
          <w:bCs w:val="0"/>
          <w:color w:val="180B3C"/>
          <w:u w:val="single"/>
        </w:rPr>
        <w:t>S</w:t>
      </w:r>
      <w:r w:rsidR="00B05A75">
        <w:rPr>
          <w:rFonts w:ascii="Arial" w:hAnsi="Arial" w:cs="Arial"/>
          <w:bCs w:val="0"/>
          <w:color w:val="180B3C"/>
          <w:u w:val="single"/>
        </w:rPr>
        <w:t xml:space="preserve">ecurities </w:t>
      </w:r>
      <w:r w:rsidR="00B05A75" w:rsidRPr="007E66CF">
        <w:rPr>
          <w:rFonts w:ascii="Arial" w:hAnsi="Arial" w:cs="Arial"/>
          <w:bCs w:val="0"/>
          <w:color w:val="180B3C"/>
          <w:u w:val="single"/>
        </w:rPr>
        <w:t>A</w:t>
      </w:r>
      <w:r w:rsidR="007E4862">
        <w:rPr>
          <w:rFonts w:ascii="Arial" w:hAnsi="Arial" w:cs="Arial"/>
          <w:bCs w:val="0"/>
          <w:color w:val="180B3C"/>
          <w:u w:val="single"/>
        </w:rPr>
        <w:t>nalysis a</w:t>
      </w:r>
      <w:r w:rsidR="00B05A75">
        <w:rPr>
          <w:rFonts w:ascii="Arial" w:hAnsi="Arial" w:cs="Arial"/>
          <w:bCs w:val="0"/>
          <w:color w:val="180B3C"/>
          <w:u w:val="single"/>
        </w:rPr>
        <w:t xml:space="preserve">nd </w:t>
      </w:r>
      <w:r w:rsidR="00B05A75" w:rsidRPr="007E66CF">
        <w:rPr>
          <w:rFonts w:ascii="Arial" w:hAnsi="Arial" w:cs="Arial"/>
          <w:bCs w:val="0"/>
          <w:color w:val="180B3C"/>
          <w:u w:val="single"/>
        </w:rPr>
        <w:t>P</w:t>
      </w:r>
      <w:r w:rsidR="00B05A75">
        <w:rPr>
          <w:rFonts w:ascii="Arial" w:hAnsi="Arial" w:cs="Arial"/>
          <w:bCs w:val="0"/>
          <w:color w:val="180B3C"/>
          <w:u w:val="single"/>
        </w:rPr>
        <w:t xml:space="preserve">ortfolio </w:t>
      </w:r>
      <w:r w:rsidR="00B05A75" w:rsidRPr="007E66CF">
        <w:rPr>
          <w:rFonts w:ascii="Arial" w:hAnsi="Arial" w:cs="Arial"/>
          <w:bCs w:val="0"/>
          <w:color w:val="180B3C"/>
          <w:u w:val="single"/>
        </w:rPr>
        <w:t>M</w:t>
      </w:r>
      <w:r w:rsidR="00B05A75">
        <w:rPr>
          <w:rFonts w:ascii="Arial" w:hAnsi="Arial" w:cs="Arial"/>
          <w:bCs w:val="0"/>
          <w:color w:val="180B3C"/>
          <w:u w:val="single"/>
        </w:rPr>
        <w:t>anagement</w:t>
      </w:r>
    </w:p>
    <w:p w:rsidR="00FE1DFA" w:rsidRDefault="00FE1DFA" w:rsidP="00FE1DF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proofErr w:type="gramStart"/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2</w:t>
      </w:r>
      <w:proofErr w:type="gramEnd"/>
      <w:r>
        <w:rPr>
          <w:rFonts w:ascii="Arial" w:hAnsi="Arial" w:cs="Arial"/>
        </w:rPr>
        <w:t xml:space="preserve"> ½ 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6A562A" w:rsidRDefault="006A562A" w:rsidP="006A562A">
      <w:pPr>
        <w:pStyle w:val="NoSpacing"/>
        <w:jc w:val="center"/>
      </w:pPr>
      <w:r>
        <w:t>Supplementary candidates only.</w:t>
      </w:r>
    </w:p>
    <w:p w:rsidR="00FE1DFA" w:rsidRPr="00962C26" w:rsidRDefault="00FE1DFA" w:rsidP="00FE1DFA">
      <w:pPr>
        <w:pStyle w:val="Title"/>
        <w:outlineLvl w:val="0"/>
        <w:rPr>
          <w:rFonts w:ascii="Arial" w:hAnsi="Arial" w:cs="Arial"/>
          <w:b w:val="0"/>
        </w:rPr>
      </w:pPr>
    </w:p>
    <w:p w:rsidR="00FE1DFA" w:rsidRPr="00C05BEB" w:rsidRDefault="00FE1DFA" w:rsidP="00C05BEB">
      <w:pPr>
        <w:ind w:left="360" w:hanging="360"/>
        <w:jc w:val="center"/>
        <w:rPr>
          <w:rFonts w:ascii="Book Antiqua" w:hAnsi="Book Antiqua"/>
          <w:sz w:val="24"/>
          <w:szCs w:val="24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834752">
        <w:rPr>
          <w:rFonts w:ascii="Arial" w:hAnsi="Arial" w:cs="Arial"/>
          <w:b/>
          <w:color w:val="000000" w:themeColor="text1"/>
        </w:rPr>
        <w:t>three</w:t>
      </w:r>
      <w:r w:rsidR="008C200B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>printed pages and four parts</w:t>
      </w:r>
      <w:bookmarkStart w:id="0" w:name="_GoBack"/>
      <w:bookmarkEnd w:id="0"/>
    </w:p>
    <w:p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:rsidR="00FE1DFA" w:rsidRPr="002D1115" w:rsidRDefault="00FE1DFA" w:rsidP="00FE1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Answer </w:t>
      </w:r>
      <w:r w:rsidRPr="00C05BEB">
        <w:rPr>
          <w:rFonts w:ascii="Arial" w:hAnsi="Arial" w:cs="Arial"/>
          <w:b/>
          <w:sz w:val="24"/>
          <w:szCs w:val="24"/>
        </w:rPr>
        <w:t>any</w:t>
      </w:r>
      <w:r w:rsidR="005E22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five </w:t>
      </w:r>
      <w:r>
        <w:rPr>
          <w:rFonts w:ascii="Arial" w:hAnsi="Arial" w:cs="Arial"/>
          <w:sz w:val="24"/>
          <w:szCs w:val="24"/>
        </w:rPr>
        <w:t>of the following</w:t>
      </w:r>
      <w:r w:rsidRPr="00753E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1569A">
        <w:rPr>
          <w:rFonts w:ascii="Arial" w:hAnsi="Arial" w:cs="Arial"/>
          <w:b/>
          <w:sz w:val="24"/>
          <w:szCs w:val="24"/>
        </w:rPr>
        <w:t>(5 X 2 = 10marks)</w:t>
      </w:r>
    </w:p>
    <w:p w:rsidR="00FE1DFA" w:rsidRDefault="003C4898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large cap stocks</w:t>
      </w:r>
      <w:r w:rsidR="00FE1DF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Give an example of the same.</w:t>
      </w:r>
    </w:p>
    <w:p w:rsidR="00FE1DFA" w:rsidRDefault="00671C7F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active investment strategy. </w:t>
      </w:r>
    </w:p>
    <w:p w:rsidR="00FE1DFA" w:rsidRDefault="00573DDA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APT?</w:t>
      </w:r>
    </w:p>
    <w:p w:rsidR="003C4898" w:rsidRPr="003C4898" w:rsidRDefault="003C4898" w:rsidP="003C489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Expand the abbreviation UPI. Give an example of a UPI app. </w:t>
      </w:r>
    </w:p>
    <w:p w:rsidR="00FE1DFA" w:rsidRDefault="005C5534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any </w:t>
      </w:r>
      <w:r w:rsidR="003C4898">
        <w:rPr>
          <w:rFonts w:ascii="Arial" w:hAnsi="Arial" w:cs="Arial"/>
        </w:rPr>
        <w:t>two of Porter’s five forces</w:t>
      </w:r>
      <w:r>
        <w:rPr>
          <w:rFonts w:ascii="Arial" w:hAnsi="Arial" w:cs="Arial"/>
        </w:rPr>
        <w:t>.</w:t>
      </w:r>
    </w:p>
    <w:p w:rsidR="00FE1DFA" w:rsidRDefault="005C5534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With the help of a diagram depict support and resistance levels.</w:t>
      </w:r>
    </w:p>
    <w:p w:rsidR="004975DF" w:rsidRDefault="004975DF" w:rsidP="00FE1DF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FCCBs?</w:t>
      </w:r>
    </w:p>
    <w:p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 w:rsidRPr="00D42FB6">
        <w:rPr>
          <w:rFonts w:ascii="Arial" w:hAnsi="Arial" w:cs="Arial"/>
          <w:b/>
          <w:sz w:val="24"/>
          <w:szCs w:val="24"/>
        </w:rPr>
        <w:t>Section B</w:t>
      </w:r>
    </w:p>
    <w:p w:rsidR="00A656F3" w:rsidRPr="00A656F3" w:rsidRDefault="00FE1DFA" w:rsidP="00A656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Answer </w:t>
      </w:r>
      <w:r w:rsidRPr="00C05BEB">
        <w:rPr>
          <w:rFonts w:ascii="Arial" w:hAnsi="Arial" w:cs="Arial"/>
          <w:b/>
          <w:sz w:val="24"/>
          <w:szCs w:val="24"/>
        </w:rPr>
        <w:t>any</w:t>
      </w:r>
      <w:r w:rsidR="005E22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(3 x 5 = 15 marks)</w:t>
      </w:r>
    </w:p>
    <w:p w:rsidR="00167C5A" w:rsidRPr="005E70FB" w:rsidRDefault="00167C5A" w:rsidP="005E7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E70FB">
        <w:rPr>
          <w:rFonts w:ascii="Arial" w:hAnsi="Arial" w:cs="Arial"/>
          <w:lang w:val="en-US"/>
        </w:rPr>
        <w:t xml:space="preserve">Consider the following information </w:t>
      </w:r>
      <w:r w:rsidR="00A656F3">
        <w:rPr>
          <w:rFonts w:ascii="Arial" w:hAnsi="Arial" w:cs="Arial"/>
          <w:lang w:val="en-US"/>
        </w:rPr>
        <w:t>pertaining to the stock returns of Ignite Ltd.</w:t>
      </w:r>
    </w:p>
    <w:tbl>
      <w:tblPr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5"/>
        <w:gridCol w:w="1779"/>
      </w:tblGrid>
      <w:tr w:rsidR="00A656F3" w:rsidRPr="00167C5A" w:rsidTr="00A656F3">
        <w:tc>
          <w:tcPr>
            <w:tcW w:w="1605" w:type="dxa"/>
          </w:tcPr>
          <w:p w:rsidR="00A656F3" w:rsidRPr="00E4386E" w:rsidRDefault="00A656F3" w:rsidP="00167C5A">
            <w:pPr>
              <w:spacing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E4386E">
              <w:rPr>
                <w:rFonts w:ascii="Arial" w:hAnsi="Arial" w:cs="Arial"/>
                <w:bCs/>
                <w:lang w:val="en-US"/>
              </w:rPr>
              <w:t>Probability</w:t>
            </w:r>
          </w:p>
        </w:tc>
        <w:tc>
          <w:tcPr>
            <w:tcW w:w="1779" w:type="dxa"/>
          </w:tcPr>
          <w:p w:rsidR="00A656F3" w:rsidRPr="00167C5A" w:rsidRDefault="00A656F3" w:rsidP="00167C5A">
            <w:pPr>
              <w:spacing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Return (%)</w:t>
            </w:r>
          </w:p>
        </w:tc>
      </w:tr>
      <w:tr w:rsidR="00A656F3" w:rsidRPr="00167C5A" w:rsidTr="00A656F3">
        <w:tc>
          <w:tcPr>
            <w:tcW w:w="1605" w:type="dxa"/>
          </w:tcPr>
          <w:p w:rsidR="00A656F3" w:rsidRPr="00167C5A" w:rsidRDefault="00A656F3" w:rsidP="00E4386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25%</w:t>
            </w:r>
          </w:p>
        </w:tc>
        <w:tc>
          <w:tcPr>
            <w:tcW w:w="1779" w:type="dxa"/>
          </w:tcPr>
          <w:p w:rsidR="00A656F3" w:rsidRPr="00167C5A" w:rsidRDefault="00A656F3" w:rsidP="00E4386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167C5A">
              <w:rPr>
                <w:rFonts w:ascii="Arial" w:hAnsi="Arial" w:cs="Arial"/>
                <w:bCs/>
                <w:lang w:val="en-US"/>
              </w:rPr>
              <w:t>12</w:t>
            </w:r>
          </w:p>
        </w:tc>
      </w:tr>
      <w:tr w:rsidR="00A656F3" w:rsidRPr="00167C5A" w:rsidTr="00A656F3">
        <w:tc>
          <w:tcPr>
            <w:tcW w:w="1605" w:type="dxa"/>
          </w:tcPr>
          <w:p w:rsidR="00A656F3" w:rsidRPr="00167C5A" w:rsidRDefault="00A656F3" w:rsidP="00E4386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20%</w:t>
            </w:r>
          </w:p>
        </w:tc>
        <w:tc>
          <w:tcPr>
            <w:tcW w:w="1779" w:type="dxa"/>
          </w:tcPr>
          <w:p w:rsidR="00A656F3" w:rsidRPr="00167C5A" w:rsidRDefault="00A656F3" w:rsidP="00E4386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167C5A">
              <w:rPr>
                <w:rFonts w:ascii="Arial" w:hAnsi="Arial" w:cs="Arial"/>
                <w:bCs/>
                <w:lang w:val="en-US"/>
              </w:rPr>
              <w:t>10</w:t>
            </w:r>
          </w:p>
        </w:tc>
      </w:tr>
      <w:tr w:rsidR="00A656F3" w:rsidRPr="00167C5A" w:rsidTr="00A656F3">
        <w:tc>
          <w:tcPr>
            <w:tcW w:w="1605" w:type="dxa"/>
          </w:tcPr>
          <w:p w:rsidR="00A656F3" w:rsidRPr="00167C5A" w:rsidRDefault="00A656F3" w:rsidP="00E4386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10%</w:t>
            </w:r>
          </w:p>
        </w:tc>
        <w:tc>
          <w:tcPr>
            <w:tcW w:w="1779" w:type="dxa"/>
          </w:tcPr>
          <w:p w:rsidR="00A656F3" w:rsidRPr="00167C5A" w:rsidRDefault="00A656F3" w:rsidP="00E4386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167C5A">
              <w:rPr>
                <w:rFonts w:ascii="Arial" w:hAnsi="Arial" w:cs="Arial"/>
                <w:bCs/>
                <w:lang w:val="en-US"/>
              </w:rPr>
              <w:t>13</w:t>
            </w:r>
          </w:p>
        </w:tc>
      </w:tr>
      <w:tr w:rsidR="00A656F3" w:rsidRPr="00167C5A" w:rsidTr="00A656F3">
        <w:tc>
          <w:tcPr>
            <w:tcW w:w="1605" w:type="dxa"/>
          </w:tcPr>
          <w:p w:rsidR="00A656F3" w:rsidRPr="00167C5A" w:rsidRDefault="00A656F3" w:rsidP="00E4386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15%</w:t>
            </w:r>
          </w:p>
        </w:tc>
        <w:tc>
          <w:tcPr>
            <w:tcW w:w="1779" w:type="dxa"/>
          </w:tcPr>
          <w:p w:rsidR="00A656F3" w:rsidRPr="00167C5A" w:rsidRDefault="00A656F3" w:rsidP="00E4386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167C5A">
              <w:rPr>
                <w:rFonts w:ascii="Arial" w:hAnsi="Arial" w:cs="Arial"/>
                <w:bCs/>
                <w:lang w:val="en-US"/>
              </w:rPr>
              <w:t>11</w:t>
            </w:r>
          </w:p>
        </w:tc>
      </w:tr>
      <w:tr w:rsidR="00A656F3" w:rsidRPr="00167C5A" w:rsidTr="00A656F3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F3" w:rsidRPr="00167C5A" w:rsidRDefault="00A656F3" w:rsidP="00E4386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10%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F3" w:rsidRPr="00167C5A" w:rsidRDefault="00A656F3" w:rsidP="00E4386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167C5A">
              <w:rPr>
                <w:rFonts w:ascii="Arial" w:hAnsi="Arial" w:cs="Arial"/>
                <w:bCs/>
                <w:lang w:val="en-US"/>
              </w:rPr>
              <w:t>10</w:t>
            </w:r>
          </w:p>
        </w:tc>
      </w:tr>
      <w:tr w:rsidR="00A656F3" w:rsidRPr="00167C5A" w:rsidTr="00A656F3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F3" w:rsidRPr="00167C5A" w:rsidRDefault="00A656F3" w:rsidP="00E4386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5%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F3" w:rsidRPr="00167C5A" w:rsidRDefault="00A656F3" w:rsidP="00E4386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-12</w:t>
            </w:r>
          </w:p>
        </w:tc>
      </w:tr>
      <w:tr w:rsidR="00A656F3" w:rsidRPr="00167C5A" w:rsidTr="00A656F3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F3" w:rsidRPr="00167C5A" w:rsidRDefault="00A656F3" w:rsidP="00E4386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15%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F3" w:rsidRPr="00167C5A" w:rsidRDefault="00A656F3" w:rsidP="00E4386E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-5</w:t>
            </w:r>
          </w:p>
        </w:tc>
      </w:tr>
    </w:tbl>
    <w:p w:rsidR="00E4386E" w:rsidRDefault="00A656F3" w:rsidP="00E4386E">
      <w:pPr>
        <w:spacing w:line="240" w:lineRule="auto"/>
        <w:ind w:firstLine="36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Compute the standard deviation and expected return of the stock.</w:t>
      </w:r>
    </w:p>
    <w:p w:rsidR="006C4419" w:rsidRPr="00BB6BCC" w:rsidRDefault="006C4419" w:rsidP="006C4419">
      <w:pPr>
        <w:pStyle w:val="ListParagraph"/>
        <w:numPr>
          <w:ilvl w:val="0"/>
          <w:numId w:val="1"/>
        </w:numPr>
        <w:tabs>
          <w:tab w:val="left" w:pos="20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Rank the following portfolios using </w:t>
      </w:r>
      <w:proofErr w:type="spellStart"/>
      <w:r>
        <w:rPr>
          <w:rFonts w:ascii="Arial" w:hAnsi="Arial" w:cs="Arial"/>
        </w:rPr>
        <w:t>Treynor’s</w:t>
      </w:r>
      <w:proofErr w:type="spellEnd"/>
      <w:r>
        <w:rPr>
          <w:rFonts w:ascii="Arial" w:hAnsi="Arial" w:cs="Arial"/>
        </w:rPr>
        <w:t xml:space="preserve"> Ratio</w:t>
      </w:r>
    </w:p>
    <w:tbl>
      <w:tblPr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417"/>
        <w:gridCol w:w="1134"/>
        <w:gridCol w:w="851"/>
      </w:tblGrid>
      <w:tr w:rsidR="006C4419" w:rsidRPr="00BB6BCC" w:rsidTr="00270A6D">
        <w:tc>
          <w:tcPr>
            <w:tcW w:w="1668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Portfolio</w:t>
            </w:r>
          </w:p>
        </w:tc>
        <w:tc>
          <w:tcPr>
            <w:tcW w:w="1417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ind w:left="-14" w:firstLine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BB6BCC">
              <w:rPr>
                <w:rFonts w:ascii="Arial" w:hAnsi="Arial" w:cs="Arial"/>
              </w:rPr>
              <w:t>eturn (%)</w:t>
            </w:r>
          </w:p>
        </w:tc>
        <w:tc>
          <w:tcPr>
            <w:tcW w:w="1134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σ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BB6BCC">
              <w:rPr>
                <w:rFonts w:ascii="Arial" w:hAnsi="Arial" w:cs="Arial"/>
              </w:rPr>
              <w:t>(%)</w:t>
            </w:r>
          </w:p>
        </w:tc>
        <w:tc>
          <w:tcPr>
            <w:tcW w:w="851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Beta</w:t>
            </w:r>
          </w:p>
        </w:tc>
      </w:tr>
      <w:tr w:rsidR="006C4419" w:rsidRPr="00BB6BCC" w:rsidTr="00270A6D">
        <w:tc>
          <w:tcPr>
            <w:tcW w:w="1668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B6BCC">
              <w:rPr>
                <w:rFonts w:ascii="Arial" w:hAnsi="Arial" w:cs="Arial"/>
              </w:rPr>
              <w:t>.82</w:t>
            </w:r>
          </w:p>
        </w:tc>
      </w:tr>
      <w:tr w:rsidR="006C4419" w:rsidRPr="00BB6BCC" w:rsidTr="00270A6D">
        <w:tc>
          <w:tcPr>
            <w:tcW w:w="1668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B</w:t>
            </w:r>
          </w:p>
        </w:tc>
        <w:tc>
          <w:tcPr>
            <w:tcW w:w="1417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B6BCC">
              <w:rPr>
                <w:rFonts w:ascii="Arial" w:hAnsi="Arial" w:cs="Arial"/>
              </w:rPr>
              <w:t>.53</w:t>
            </w:r>
          </w:p>
        </w:tc>
      </w:tr>
      <w:tr w:rsidR="006C4419" w:rsidRPr="00BB6BCC" w:rsidTr="00270A6D">
        <w:tc>
          <w:tcPr>
            <w:tcW w:w="1668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B6BCC">
              <w:rPr>
                <w:rFonts w:ascii="Arial" w:hAnsi="Arial" w:cs="Arial"/>
              </w:rPr>
              <w:t>.40</w:t>
            </w:r>
          </w:p>
        </w:tc>
      </w:tr>
      <w:tr w:rsidR="006C4419" w:rsidRPr="00BB6BCC" w:rsidTr="00270A6D">
        <w:tc>
          <w:tcPr>
            <w:tcW w:w="1668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B6BCC">
              <w:rPr>
                <w:rFonts w:ascii="Arial" w:hAnsi="Arial" w:cs="Arial"/>
              </w:rPr>
              <w:t>.73</w:t>
            </w:r>
          </w:p>
        </w:tc>
      </w:tr>
      <w:tr w:rsidR="006C4419" w:rsidRPr="00BB6BCC" w:rsidTr="00270A6D">
        <w:tc>
          <w:tcPr>
            <w:tcW w:w="1668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Market</w:t>
            </w:r>
          </w:p>
        </w:tc>
        <w:tc>
          <w:tcPr>
            <w:tcW w:w="1417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C4419" w:rsidRPr="00BB6BCC" w:rsidTr="00270A6D">
        <w:tc>
          <w:tcPr>
            <w:tcW w:w="1668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lastRenderedPageBreak/>
              <w:t>91 Day T-Bills</w:t>
            </w:r>
          </w:p>
        </w:tc>
        <w:tc>
          <w:tcPr>
            <w:tcW w:w="1417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jc w:val="center"/>
              <w:rPr>
                <w:rFonts w:ascii="Arial" w:hAnsi="Arial" w:cs="Arial"/>
              </w:rPr>
            </w:pPr>
            <w:r w:rsidRPr="00BB6BC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6C4419" w:rsidRPr="00BB6BCC" w:rsidRDefault="006C4419" w:rsidP="00270A6D">
            <w:pPr>
              <w:tabs>
                <w:tab w:val="left" w:pos="2040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F3347D" w:rsidRDefault="00F3347D" w:rsidP="00F3347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types of systematic risk.</w:t>
      </w:r>
    </w:p>
    <w:p w:rsidR="00F3347D" w:rsidRDefault="00F3347D" w:rsidP="00F3347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short note on Sharpe’s Single Index Model. </w:t>
      </w:r>
    </w:p>
    <w:p w:rsidR="00E4386E" w:rsidRPr="00F3347D" w:rsidRDefault="00F3347D" w:rsidP="00F3347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12C6B">
        <w:rPr>
          <w:rFonts w:ascii="Arial" w:hAnsi="Arial" w:cs="Arial"/>
          <w:color w:val="000000" w:themeColor="text1"/>
          <w:lang w:val="en-US" w:eastAsia="en-US"/>
        </w:rPr>
        <w:t>“</w:t>
      </w:r>
      <w:r w:rsidRPr="00212C6B">
        <w:rPr>
          <w:rFonts w:ascii="Arial" w:hAnsi="Arial" w:cs="Arial"/>
          <w:i/>
          <w:color w:val="000000" w:themeColor="text1"/>
          <w:lang w:val="en-US" w:eastAsia="en-US"/>
        </w:rPr>
        <w:t xml:space="preserve">There is little doubt that Dow </w:t>
      </w:r>
      <w:proofErr w:type="gramStart"/>
      <w:r w:rsidRPr="00212C6B">
        <w:rPr>
          <w:rFonts w:ascii="Arial" w:hAnsi="Arial" w:cs="Arial"/>
          <w:i/>
          <w:color w:val="000000" w:themeColor="text1"/>
          <w:lang w:val="en-US" w:eastAsia="en-US"/>
        </w:rPr>
        <w:t>theory</w:t>
      </w:r>
      <w:proofErr w:type="gramEnd"/>
      <w:r w:rsidRPr="00212C6B">
        <w:rPr>
          <w:rFonts w:ascii="Arial" w:hAnsi="Arial" w:cs="Arial"/>
          <w:i/>
          <w:color w:val="000000" w:themeColor="text1"/>
          <w:lang w:val="en-US" w:eastAsia="en-US"/>
        </w:rPr>
        <w:t xml:space="preserve"> is of major importance in the history of technical analysis. Many of its tenets and ideas are the basis of much of what we know today</w:t>
      </w:r>
      <w:r w:rsidRPr="00212C6B">
        <w:rPr>
          <w:rFonts w:ascii="Arial" w:hAnsi="Arial" w:cs="Arial"/>
          <w:color w:val="000000" w:themeColor="text1"/>
          <w:lang w:val="en-US" w:eastAsia="en-US"/>
        </w:rPr>
        <w:t>.”</w:t>
      </w:r>
      <w:r>
        <w:rPr>
          <w:rFonts w:ascii="Arial" w:hAnsi="Arial" w:cs="Arial"/>
          <w:color w:val="000000" w:themeColor="text1"/>
          <w:lang w:val="en-US" w:eastAsia="en-US"/>
        </w:rPr>
        <w:t xml:space="preserve"> In the light of the above statement, enumerate the three trends of Dow </w:t>
      </w:r>
      <w:proofErr w:type="gramStart"/>
      <w:r>
        <w:rPr>
          <w:rFonts w:ascii="Arial" w:hAnsi="Arial" w:cs="Arial"/>
          <w:color w:val="000000" w:themeColor="text1"/>
          <w:lang w:val="en-US" w:eastAsia="en-US"/>
        </w:rPr>
        <w:t>theory</w:t>
      </w:r>
      <w:proofErr w:type="gramEnd"/>
      <w:r>
        <w:rPr>
          <w:rFonts w:ascii="Arial" w:hAnsi="Arial" w:cs="Arial"/>
          <w:color w:val="000000" w:themeColor="text1"/>
          <w:lang w:val="en-US" w:eastAsia="en-US"/>
        </w:rPr>
        <w:t xml:space="preserve">. </w:t>
      </w:r>
    </w:p>
    <w:p w:rsidR="00F3347D" w:rsidRPr="00F3347D" w:rsidRDefault="00F3347D" w:rsidP="00F3347D">
      <w:pPr>
        <w:pStyle w:val="ListParagraph"/>
        <w:jc w:val="both"/>
        <w:rPr>
          <w:rFonts w:ascii="Arial" w:hAnsi="Arial" w:cs="Arial"/>
        </w:rPr>
      </w:pPr>
    </w:p>
    <w:p w:rsidR="00FE1DFA" w:rsidRDefault="00FE1DFA" w:rsidP="00FE1D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C</w:t>
      </w:r>
    </w:p>
    <w:p w:rsidR="00FE1DFA" w:rsidRDefault="00FE1DFA" w:rsidP="00FE1D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Answer </w:t>
      </w:r>
      <w:r w:rsidRPr="00C05BEB">
        <w:rPr>
          <w:rFonts w:ascii="Arial" w:hAnsi="Arial" w:cs="Arial"/>
          <w:b/>
          <w:sz w:val="24"/>
          <w:szCs w:val="24"/>
        </w:rPr>
        <w:t>any</w:t>
      </w:r>
      <w:r w:rsidR="005E224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(3 x 10 = 30 marks)</w:t>
      </w:r>
    </w:p>
    <w:p w:rsidR="00FE1DFA" w:rsidRDefault="000E0AF2" w:rsidP="00F3347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="00F3347D">
        <w:rPr>
          <w:rFonts w:ascii="Arial" w:hAnsi="Arial" w:cs="Arial"/>
        </w:rPr>
        <w:t>the methods of analysing a company’s financials</w:t>
      </w:r>
      <w:r w:rsidR="00A434E4">
        <w:rPr>
          <w:rFonts w:ascii="Arial" w:hAnsi="Arial" w:cs="Arial"/>
        </w:rPr>
        <w:t>.</w:t>
      </w:r>
    </w:p>
    <w:p w:rsidR="00FE1DFA" w:rsidRDefault="00FA3385" w:rsidP="00F3347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Markowitz Model.</w:t>
      </w:r>
    </w:p>
    <w:p w:rsidR="00270A6D" w:rsidRDefault="00F3347D" w:rsidP="00270A6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Roopa</w:t>
      </w:r>
      <w:proofErr w:type="spellEnd"/>
      <w:r>
        <w:rPr>
          <w:rFonts w:ascii="Arial" w:hAnsi="Arial" w:cs="Arial"/>
        </w:rPr>
        <w:t xml:space="preserve"> is a high net worth individual who is looking at </w:t>
      </w:r>
      <w:r w:rsidR="00270A6D">
        <w:rPr>
          <w:rFonts w:ascii="Arial" w:hAnsi="Arial" w:cs="Arial"/>
        </w:rPr>
        <w:t>diversifying</w:t>
      </w:r>
      <w:r>
        <w:rPr>
          <w:rFonts w:ascii="Arial" w:hAnsi="Arial" w:cs="Arial"/>
        </w:rPr>
        <w:t xml:space="preserve"> her investments </w:t>
      </w:r>
      <w:r w:rsidR="00270A6D">
        <w:rPr>
          <w:rFonts w:ascii="Arial" w:hAnsi="Arial" w:cs="Arial"/>
        </w:rPr>
        <w:t>beyond equity and fixed deposits. Explain to her the other various avenues of investment she could consider.</w:t>
      </w:r>
    </w:p>
    <w:p w:rsidR="00E93984" w:rsidRPr="00270A6D" w:rsidRDefault="00E93984" w:rsidP="00270A6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70A6D">
        <w:rPr>
          <w:rFonts w:ascii="Arial" w:hAnsi="Arial" w:cs="Arial"/>
          <w:lang w:val="en-IN"/>
        </w:rPr>
        <w:t>The returns on security ACC and the market portfolio for a 10 year period are given below:</w:t>
      </w: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1300"/>
        <w:gridCol w:w="1550"/>
        <w:gridCol w:w="2835"/>
      </w:tblGrid>
      <w:tr w:rsidR="00E93984" w:rsidRPr="00E93984" w:rsidTr="00E93984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US"/>
              </w:rPr>
              <w:t>Year</w:t>
            </w:r>
          </w:p>
        </w:tc>
        <w:tc>
          <w:tcPr>
            <w:tcW w:w="15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US"/>
              </w:rPr>
              <w:t>ACC (%)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US"/>
              </w:rPr>
              <w:t xml:space="preserve">Market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val="en-GB" w:eastAsia="en-US"/>
              </w:rPr>
              <w:t>Portfolio(</w:t>
            </w:r>
            <w:proofErr w:type="gramEnd"/>
            <w:r>
              <w:rPr>
                <w:rFonts w:ascii="Arial" w:eastAsia="Times New Roman" w:hAnsi="Arial" w:cs="Arial"/>
                <w:color w:val="000000"/>
                <w:lang w:val="en-GB" w:eastAsia="en-US"/>
              </w:rPr>
              <w:t>%)</w:t>
            </w:r>
          </w:p>
        </w:tc>
      </w:tr>
      <w:tr w:rsidR="00E93984" w:rsidRPr="00E93984" w:rsidTr="00E93984">
        <w:trPr>
          <w:trHeight w:val="93"/>
        </w:trPr>
        <w:tc>
          <w:tcPr>
            <w:tcW w:w="1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</w:p>
        </w:tc>
      </w:tr>
      <w:tr w:rsidR="00E93984" w:rsidRPr="00E93984" w:rsidTr="00E9398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24</w:t>
            </w:r>
          </w:p>
        </w:tc>
      </w:tr>
      <w:tr w:rsidR="00E93984" w:rsidRPr="00E93984" w:rsidTr="00E9398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10</w:t>
            </w:r>
          </w:p>
        </w:tc>
      </w:tr>
      <w:tr w:rsidR="00E93984" w:rsidRPr="00E93984" w:rsidTr="00E9398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36</w:t>
            </w:r>
          </w:p>
        </w:tc>
      </w:tr>
      <w:tr w:rsidR="00E93984" w:rsidRPr="00E93984" w:rsidTr="00E9398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-8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-16</w:t>
            </w:r>
          </w:p>
        </w:tc>
      </w:tr>
      <w:tr w:rsidR="00E93984" w:rsidRPr="00E93984" w:rsidTr="00E9398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20</w:t>
            </w:r>
          </w:p>
        </w:tc>
      </w:tr>
      <w:tr w:rsidR="00E93984" w:rsidRPr="00E93984" w:rsidTr="00E9398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32</w:t>
            </w:r>
          </w:p>
        </w:tc>
      </w:tr>
      <w:tr w:rsidR="00E93984" w:rsidRPr="00E93984" w:rsidTr="00E9398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14</w:t>
            </w:r>
          </w:p>
        </w:tc>
      </w:tr>
      <w:tr w:rsidR="00E93984" w:rsidRPr="00E93984" w:rsidTr="00E9398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30</w:t>
            </w:r>
          </w:p>
        </w:tc>
      </w:tr>
      <w:tr w:rsidR="00E93984" w:rsidRPr="00E93984" w:rsidTr="00E9398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60</w:t>
            </w:r>
          </w:p>
        </w:tc>
      </w:tr>
      <w:tr w:rsidR="00E93984" w:rsidRPr="00E93984" w:rsidTr="00E93984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984" w:rsidRPr="00E93984" w:rsidRDefault="00E93984" w:rsidP="00E93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US"/>
              </w:rPr>
            </w:pPr>
            <w:r w:rsidRPr="00E93984">
              <w:rPr>
                <w:rFonts w:ascii="Arial" w:eastAsia="Times New Roman" w:hAnsi="Arial" w:cs="Arial"/>
                <w:color w:val="000000"/>
                <w:lang w:val="en-GB" w:eastAsia="en-US"/>
              </w:rPr>
              <w:t>50</w:t>
            </w:r>
          </w:p>
        </w:tc>
      </w:tr>
    </w:tbl>
    <w:p w:rsidR="00E93984" w:rsidRPr="00E93984" w:rsidRDefault="00E93984" w:rsidP="00E9398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Compute the beta coefficient of security ACC</w:t>
      </w:r>
    </w:p>
    <w:p w:rsidR="00D5614B" w:rsidRDefault="00D5614B" w:rsidP="00F3347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Based on the given details, identify under-priced and overpriced securities in terms of SML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2268"/>
        <w:gridCol w:w="1134"/>
        <w:gridCol w:w="992"/>
      </w:tblGrid>
      <w:tr w:rsidR="00D5614B" w:rsidTr="00D5614B">
        <w:tc>
          <w:tcPr>
            <w:tcW w:w="1515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 w:right="2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</w:t>
            </w:r>
          </w:p>
        </w:tc>
        <w:tc>
          <w:tcPr>
            <w:tcW w:w="2268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Expected </w:t>
            </w:r>
            <w:proofErr w:type="gramStart"/>
            <w:r>
              <w:rPr>
                <w:rFonts w:ascii="Arial" w:hAnsi="Arial" w:cs="Arial"/>
              </w:rPr>
              <w:t>Return(</w:t>
            </w:r>
            <w:proofErr w:type="gramEnd"/>
            <w:r>
              <w:rPr>
                <w:rFonts w:ascii="Arial" w:hAnsi="Arial" w:cs="Arial"/>
              </w:rPr>
              <w:t>%)</w:t>
            </w:r>
          </w:p>
        </w:tc>
        <w:tc>
          <w:tcPr>
            <w:tcW w:w="1134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</w:t>
            </w:r>
          </w:p>
        </w:tc>
        <w:tc>
          <w:tcPr>
            <w:tcW w:w="992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</w:t>
            </w:r>
          </w:p>
        </w:tc>
      </w:tr>
      <w:tr w:rsidR="00D5614B" w:rsidTr="00D5614B">
        <w:tc>
          <w:tcPr>
            <w:tcW w:w="1515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134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992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D5614B" w:rsidTr="00D5614B">
        <w:tc>
          <w:tcPr>
            <w:tcW w:w="1515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992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D5614B" w:rsidTr="00D5614B">
        <w:tc>
          <w:tcPr>
            <w:tcW w:w="1515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268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992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D5614B" w:rsidTr="00D5614B">
        <w:tc>
          <w:tcPr>
            <w:tcW w:w="1515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268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0.95</w:t>
            </w:r>
          </w:p>
        </w:tc>
        <w:tc>
          <w:tcPr>
            <w:tcW w:w="992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D5614B" w:rsidTr="00D5614B">
        <w:tc>
          <w:tcPr>
            <w:tcW w:w="1515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268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1.05</w:t>
            </w:r>
          </w:p>
        </w:tc>
        <w:tc>
          <w:tcPr>
            <w:tcW w:w="992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D5614B" w:rsidTr="00D5614B">
        <w:tc>
          <w:tcPr>
            <w:tcW w:w="1515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Nifty Index</w:t>
            </w:r>
          </w:p>
        </w:tc>
        <w:tc>
          <w:tcPr>
            <w:tcW w:w="2268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  <w:tc>
          <w:tcPr>
            <w:tcW w:w="992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D5614B" w:rsidTr="00D5614B">
        <w:tc>
          <w:tcPr>
            <w:tcW w:w="1515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T-Bills</w:t>
            </w:r>
          </w:p>
        </w:tc>
        <w:tc>
          <w:tcPr>
            <w:tcW w:w="2268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5614B" w:rsidRDefault="00D5614B" w:rsidP="00834752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C05BEB" w:rsidRDefault="00C05BEB" w:rsidP="00C05BEB">
      <w:pPr>
        <w:pStyle w:val="ListParagraph"/>
        <w:jc w:val="both"/>
        <w:rPr>
          <w:rFonts w:ascii="Arial" w:hAnsi="Arial" w:cs="Arial"/>
        </w:rPr>
      </w:pPr>
    </w:p>
    <w:p w:rsidR="00270A6D" w:rsidRDefault="00270A6D" w:rsidP="00C05BEB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270A6D" w:rsidRDefault="00270A6D" w:rsidP="00C05BEB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270A6D" w:rsidRDefault="00270A6D" w:rsidP="00C05BEB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FE1DFA" w:rsidRPr="00C05BEB" w:rsidRDefault="00FE1DFA" w:rsidP="00C05BEB">
      <w:pPr>
        <w:pStyle w:val="ListParagraph"/>
        <w:jc w:val="center"/>
        <w:rPr>
          <w:rFonts w:ascii="Arial" w:hAnsi="Arial" w:cs="Arial"/>
        </w:rPr>
      </w:pPr>
      <w:r w:rsidRPr="00C05BEB">
        <w:rPr>
          <w:rFonts w:ascii="Arial" w:hAnsi="Arial" w:cs="Arial"/>
          <w:b/>
          <w:sz w:val="24"/>
          <w:szCs w:val="24"/>
        </w:rPr>
        <w:t>Section D</w:t>
      </w:r>
    </w:p>
    <w:p w:rsidR="00FE1DFA" w:rsidRDefault="00FE1DFA" w:rsidP="00FE1DFA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E1DFA" w:rsidRDefault="00FE1DFA" w:rsidP="00FE1DFA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</w:t>
      </w:r>
      <w:r w:rsidR="00E9664D">
        <w:rPr>
          <w:rFonts w:ascii="Arial" w:hAnsi="Arial" w:cs="Arial"/>
          <w:b/>
          <w:sz w:val="24"/>
          <w:szCs w:val="24"/>
        </w:rPr>
        <w:t>Compulsory Question</w:t>
      </w:r>
      <w:r w:rsidR="00E9664D">
        <w:rPr>
          <w:rFonts w:ascii="Arial" w:hAnsi="Arial" w:cs="Arial"/>
          <w:b/>
          <w:sz w:val="24"/>
          <w:szCs w:val="24"/>
        </w:rPr>
        <w:tab/>
      </w:r>
      <w:r w:rsidR="00E9664D">
        <w:rPr>
          <w:rFonts w:ascii="Arial" w:hAnsi="Arial" w:cs="Arial"/>
          <w:b/>
          <w:sz w:val="24"/>
          <w:szCs w:val="24"/>
        </w:rPr>
        <w:tab/>
      </w:r>
      <w:r w:rsidR="00E9664D">
        <w:rPr>
          <w:rFonts w:ascii="Arial" w:hAnsi="Arial" w:cs="Arial"/>
          <w:b/>
          <w:sz w:val="24"/>
          <w:szCs w:val="24"/>
        </w:rPr>
        <w:tab/>
      </w:r>
      <w:r w:rsidR="00E9664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(1 X 15 = 15 marks)</w:t>
      </w:r>
    </w:p>
    <w:p w:rsidR="00270A6D" w:rsidRDefault="00270A6D" w:rsidP="00FE1DFA">
      <w:pPr>
        <w:pStyle w:val="ListParagraph"/>
        <w:jc w:val="center"/>
        <w:rPr>
          <w:b/>
        </w:rPr>
      </w:pPr>
    </w:p>
    <w:p w:rsidR="00270A6D" w:rsidRPr="00B40819" w:rsidRDefault="00270A6D" w:rsidP="00270A6D">
      <w:pPr>
        <w:pStyle w:val="ListParagraph"/>
        <w:numPr>
          <w:ilvl w:val="0"/>
          <w:numId w:val="1"/>
        </w:numPr>
        <w:jc w:val="both"/>
        <w:rPr>
          <w:rFonts w:ascii="Times" w:hAnsi="Times" w:cs="Times"/>
          <w:sz w:val="24"/>
          <w:szCs w:val="24"/>
          <w:lang w:val="en-US" w:eastAsia="en-US"/>
        </w:rPr>
      </w:pPr>
      <w:r>
        <w:rPr>
          <w:rFonts w:ascii="Arial" w:hAnsi="Arial" w:cs="Arial"/>
        </w:rPr>
        <w:t>A financial analyst is analysing two investment alternatives, stock P and stock Q. The estimated rates of return and their chances of occurrence are given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2551"/>
        <w:gridCol w:w="2835"/>
      </w:tblGrid>
      <w:tr w:rsidR="00270A6D" w:rsidTr="00270A6D">
        <w:tc>
          <w:tcPr>
            <w:tcW w:w="1515" w:type="dxa"/>
            <w:vMerge w:val="restart"/>
          </w:tcPr>
          <w:p w:rsidR="00270A6D" w:rsidRPr="00B40819" w:rsidRDefault="00270A6D" w:rsidP="00270A6D">
            <w:pPr>
              <w:pStyle w:val="ListParagraph"/>
              <w:ind w:left="0"/>
              <w:jc w:val="both"/>
              <w:rPr>
                <w:rFonts w:ascii="Times" w:hAnsi="Times" w:cs="Times"/>
                <w:b/>
                <w:sz w:val="24"/>
                <w:szCs w:val="24"/>
                <w:lang w:val="en-US" w:eastAsia="en-US"/>
              </w:rPr>
            </w:pPr>
            <w:r w:rsidRPr="00B40819">
              <w:rPr>
                <w:rFonts w:ascii="Times" w:hAnsi="Times" w:cs="Times"/>
                <w:b/>
                <w:sz w:val="24"/>
                <w:szCs w:val="24"/>
                <w:lang w:val="en-US" w:eastAsia="en-US"/>
              </w:rPr>
              <w:t>Probability</w:t>
            </w:r>
          </w:p>
        </w:tc>
        <w:tc>
          <w:tcPr>
            <w:tcW w:w="5386" w:type="dxa"/>
            <w:gridSpan w:val="2"/>
          </w:tcPr>
          <w:p w:rsidR="00270A6D" w:rsidRPr="00B40819" w:rsidRDefault="00270A6D" w:rsidP="00270A6D">
            <w:pPr>
              <w:pStyle w:val="ListParagraph"/>
              <w:ind w:left="0"/>
              <w:jc w:val="center"/>
              <w:rPr>
                <w:rFonts w:ascii="Times" w:hAnsi="Times" w:cs="Times"/>
                <w:b/>
                <w:sz w:val="24"/>
                <w:szCs w:val="24"/>
                <w:lang w:val="en-US" w:eastAsia="en-US"/>
              </w:rPr>
            </w:pPr>
            <w:r w:rsidRPr="00B40819">
              <w:rPr>
                <w:rFonts w:ascii="Times" w:hAnsi="Times" w:cs="Times"/>
                <w:b/>
                <w:sz w:val="24"/>
                <w:szCs w:val="24"/>
                <w:lang w:val="en-US" w:eastAsia="en-US"/>
              </w:rPr>
              <w:t>Rates of return (%)</w:t>
            </w:r>
          </w:p>
        </w:tc>
      </w:tr>
      <w:tr w:rsidR="00270A6D" w:rsidTr="00270A6D">
        <w:tc>
          <w:tcPr>
            <w:tcW w:w="1515" w:type="dxa"/>
            <w:vMerge/>
          </w:tcPr>
          <w:p w:rsidR="00270A6D" w:rsidRDefault="00270A6D" w:rsidP="00270A6D">
            <w:pPr>
              <w:pStyle w:val="ListParagraph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</w:p>
        </w:tc>
        <w:tc>
          <w:tcPr>
            <w:tcW w:w="2551" w:type="dxa"/>
          </w:tcPr>
          <w:p w:rsidR="00270A6D" w:rsidRPr="00B40819" w:rsidRDefault="00270A6D" w:rsidP="00270A6D">
            <w:pPr>
              <w:pStyle w:val="ListParagraph"/>
              <w:ind w:left="0"/>
              <w:jc w:val="both"/>
              <w:rPr>
                <w:rFonts w:ascii="Times" w:hAnsi="Times" w:cs="Times"/>
                <w:i/>
                <w:sz w:val="24"/>
                <w:szCs w:val="24"/>
                <w:lang w:val="en-US" w:eastAsia="en-US"/>
              </w:rPr>
            </w:pPr>
            <w:r w:rsidRPr="00B40819">
              <w:rPr>
                <w:rFonts w:ascii="Times" w:hAnsi="Times" w:cs="Times"/>
                <w:i/>
                <w:sz w:val="24"/>
                <w:szCs w:val="24"/>
                <w:lang w:val="en-US" w:eastAsia="en-US"/>
              </w:rPr>
              <w:t xml:space="preserve">Stock </w:t>
            </w:r>
            <w:r>
              <w:rPr>
                <w:rFonts w:ascii="Times" w:hAnsi="Times" w:cs="Times"/>
                <w:i/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2835" w:type="dxa"/>
          </w:tcPr>
          <w:p w:rsidR="00270A6D" w:rsidRPr="00B40819" w:rsidRDefault="00270A6D" w:rsidP="00270A6D">
            <w:pPr>
              <w:pStyle w:val="ListParagraph"/>
              <w:ind w:left="0"/>
              <w:jc w:val="both"/>
              <w:rPr>
                <w:rFonts w:ascii="Times" w:hAnsi="Times" w:cs="Times"/>
                <w:i/>
                <w:sz w:val="24"/>
                <w:szCs w:val="24"/>
                <w:lang w:val="en-US" w:eastAsia="en-US"/>
              </w:rPr>
            </w:pPr>
            <w:r w:rsidRPr="00B40819">
              <w:rPr>
                <w:rFonts w:ascii="Times" w:hAnsi="Times" w:cs="Times"/>
                <w:i/>
                <w:sz w:val="24"/>
                <w:szCs w:val="24"/>
                <w:lang w:val="en-US" w:eastAsia="en-US"/>
              </w:rPr>
              <w:t xml:space="preserve">Stock </w:t>
            </w:r>
            <w:r>
              <w:rPr>
                <w:rFonts w:ascii="Times" w:hAnsi="Times" w:cs="Times"/>
                <w:i/>
                <w:sz w:val="24"/>
                <w:szCs w:val="24"/>
                <w:lang w:val="en-US" w:eastAsia="en-US"/>
              </w:rPr>
              <w:t>Q</w:t>
            </w:r>
          </w:p>
        </w:tc>
      </w:tr>
      <w:tr w:rsidR="00270A6D" w:rsidTr="00270A6D">
        <w:tc>
          <w:tcPr>
            <w:tcW w:w="1515" w:type="dxa"/>
          </w:tcPr>
          <w:p w:rsidR="00270A6D" w:rsidRDefault="00270A6D" w:rsidP="00270A6D">
            <w:pPr>
              <w:pStyle w:val="ListParagraph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0.20</w:t>
            </w:r>
          </w:p>
        </w:tc>
        <w:tc>
          <w:tcPr>
            <w:tcW w:w="2551" w:type="dxa"/>
          </w:tcPr>
          <w:p w:rsidR="00270A6D" w:rsidRDefault="00270A6D" w:rsidP="00270A6D">
            <w:pPr>
              <w:pStyle w:val="ListParagraph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2835" w:type="dxa"/>
          </w:tcPr>
          <w:p w:rsidR="00270A6D" w:rsidRDefault="009D7E84" w:rsidP="00270A6D">
            <w:pPr>
              <w:pStyle w:val="ListParagraph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15</w:t>
            </w:r>
          </w:p>
        </w:tc>
      </w:tr>
      <w:tr w:rsidR="00270A6D" w:rsidTr="00270A6D">
        <w:tc>
          <w:tcPr>
            <w:tcW w:w="1515" w:type="dxa"/>
          </w:tcPr>
          <w:p w:rsidR="00270A6D" w:rsidRDefault="00270A6D" w:rsidP="00270A6D">
            <w:pPr>
              <w:pStyle w:val="ListParagraph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0.60</w:t>
            </w:r>
          </w:p>
        </w:tc>
        <w:tc>
          <w:tcPr>
            <w:tcW w:w="2551" w:type="dxa"/>
          </w:tcPr>
          <w:p w:rsidR="00270A6D" w:rsidRDefault="009D7E84" w:rsidP="00270A6D">
            <w:pPr>
              <w:pStyle w:val="ListParagraph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2835" w:type="dxa"/>
          </w:tcPr>
          <w:p w:rsidR="00270A6D" w:rsidRDefault="009D7E84" w:rsidP="00270A6D">
            <w:pPr>
              <w:pStyle w:val="ListParagraph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45</w:t>
            </w:r>
          </w:p>
        </w:tc>
      </w:tr>
      <w:tr w:rsidR="00270A6D" w:rsidTr="00270A6D">
        <w:tc>
          <w:tcPr>
            <w:tcW w:w="1515" w:type="dxa"/>
          </w:tcPr>
          <w:p w:rsidR="00270A6D" w:rsidRDefault="00270A6D" w:rsidP="00270A6D">
            <w:pPr>
              <w:pStyle w:val="ListParagraph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0.20</w:t>
            </w:r>
          </w:p>
        </w:tc>
        <w:tc>
          <w:tcPr>
            <w:tcW w:w="2551" w:type="dxa"/>
          </w:tcPr>
          <w:p w:rsidR="00270A6D" w:rsidRDefault="00270A6D" w:rsidP="00270A6D">
            <w:pPr>
              <w:pStyle w:val="ListParagraph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-</w:t>
            </w:r>
            <w:r w:rsidR="009D7E84">
              <w:rPr>
                <w:rFonts w:ascii="Times" w:hAnsi="Times" w:cs="Times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835" w:type="dxa"/>
          </w:tcPr>
          <w:p w:rsidR="00270A6D" w:rsidRDefault="009D7E84" w:rsidP="00270A6D">
            <w:pPr>
              <w:pStyle w:val="ListParagraph"/>
              <w:ind w:left="0"/>
              <w:jc w:val="both"/>
              <w:rPr>
                <w:rFonts w:ascii="Times" w:hAnsi="Times" w:cs="Times"/>
                <w:sz w:val="24"/>
                <w:szCs w:val="24"/>
                <w:lang w:val="en-US" w:eastAsia="en-US"/>
              </w:rPr>
            </w:pPr>
            <w:r>
              <w:rPr>
                <w:rFonts w:ascii="Times" w:hAnsi="Times" w:cs="Times"/>
                <w:sz w:val="24"/>
                <w:szCs w:val="24"/>
                <w:lang w:val="en-US" w:eastAsia="en-US"/>
              </w:rPr>
              <w:t>75</w:t>
            </w:r>
          </w:p>
        </w:tc>
      </w:tr>
    </w:tbl>
    <w:p w:rsidR="00270A6D" w:rsidRDefault="00270A6D" w:rsidP="00270A6D">
      <w:pPr>
        <w:pStyle w:val="ListParagraph"/>
        <w:numPr>
          <w:ilvl w:val="1"/>
          <w:numId w:val="8"/>
        </w:numPr>
        <w:jc w:val="both"/>
        <w:rPr>
          <w:rFonts w:ascii="Times" w:hAnsi="Times" w:cs="Times"/>
          <w:sz w:val="24"/>
          <w:szCs w:val="24"/>
          <w:lang w:val="en-US" w:eastAsia="en-US"/>
        </w:rPr>
      </w:pPr>
      <w:r>
        <w:rPr>
          <w:rFonts w:ascii="Times" w:hAnsi="Times" w:cs="Times"/>
          <w:sz w:val="24"/>
          <w:szCs w:val="24"/>
          <w:lang w:val="en-US" w:eastAsia="en-US"/>
        </w:rPr>
        <w:t>Determine the expected rates of return, variance an</w:t>
      </w:r>
      <w:r w:rsidR="009D7E84">
        <w:rPr>
          <w:rFonts w:ascii="Times" w:hAnsi="Times" w:cs="Times"/>
          <w:sz w:val="24"/>
          <w:szCs w:val="24"/>
          <w:lang w:val="en-US" w:eastAsia="en-US"/>
        </w:rPr>
        <w:t>d standard deviation of stocks P and Q</w:t>
      </w:r>
      <w:r>
        <w:rPr>
          <w:rFonts w:ascii="Times" w:hAnsi="Times" w:cs="Times"/>
          <w:sz w:val="24"/>
          <w:szCs w:val="24"/>
          <w:lang w:val="en-US" w:eastAsia="en-US"/>
        </w:rPr>
        <w:t>.</w:t>
      </w:r>
    </w:p>
    <w:p w:rsidR="00270A6D" w:rsidRDefault="00270A6D" w:rsidP="00270A6D">
      <w:pPr>
        <w:pStyle w:val="ListParagraph"/>
        <w:numPr>
          <w:ilvl w:val="1"/>
          <w:numId w:val="8"/>
        </w:numPr>
        <w:jc w:val="both"/>
        <w:rPr>
          <w:rFonts w:ascii="Times" w:hAnsi="Times" w:cs="Times"/>
          <w:sz w:val="24"/>
          <w:szCs w:val="24"/>
          <w:lang w:val="en-US" w:eastAsia="en-US"/>
        </w:rPr>
      </w:pPr>
      <w:r>
        <w:rPr>
          <w:rFonts w:ascii="Times" w:hAnsi="Times" w:cs="Times"/>
          <w:sz w:val="24"/>
          <w:szCs w:val="24"/>
          <w:lang w:val="en-US" w:eastAsia="en-US"/>
        </w:rPr>
        <w:t>If the a</w:t>
      </w:r>
      <w:r w:rsidR="005E2240">
        <w:rPr>
          <w:rFonts w:ascii="Times" w:hAnsi="Times" w:cs="Times"/>
          <w:sz w:val="24"/>
          <w:szCs w:val="24"/>
          <w:lang w:val="en-US" w:eastAsia="en-US"/>
        </w:rPr>
        <w:t>nalyst wants to invest half in P</w:t>
      </w:r>
      <w:r>
        <w:rPr>
          <w:rFonts w:ascii="Times" w:hAnsi="Times" w:cs="Times"/>
          <w:sz w:val="24"/>
          <w:szCs w:val="24"/>
          <w:lang w:val="en-US" w:eastAsia="en-US"/>
        </w:rPr>
        <w:t xml:space="preserve"> and half in </w:t>
      </w:r>
      <w:r w:rsidR="005E2240">
        <w:rPr>
          <w:rFonts w:ascii="Times" w:hAnsi="Times" w:cs="Times"/>
          <w:sz w:val="24"/>
          <w:szCs w:val="24"/>
          <w:lang w:val="en-US" w:eastAsia="en-US"/>
        </w:rPr>
        <w:t>Q</w:t>
      </w:r>
      <w:r>
        <w:rPr>
          <w:rFonts w:ascii="Times" w:hAnsi="Times" w:cs="Times"/>
          <w:sz w:val="24"/>
          <w:szCs w:val="24"/>
          <w:lang w:val="en-US" w:eastAsia="en-US"/>
        </w:rPr>
        <w:t xml:space="preserve">, would it reduce the risk? </w:t>
      </w:r>
      <w:r w:rsidR="009D7E84">
        <w:rPr>
          <w:rFonts w:ascii="Times" w:hAnsi="Times" w:cs="Times"/>
          <w:sz w:val="24"/>
          <w:szCs w:val="24"/>
          <w:lang w:val="en-US" w:eastAsia="en-US"/>
        </w:rPr>
        <w:t>Compute the return of this portfolio.</w:t>
      </w:r>
    </w:p>
    <w:p w:rsidR="009D7E84" w:rsidRPr="009D7E84" w:rsidRDefault="009D7E84" w:rsidP="009D7E84">
      <w:pPr>
        <w:jc w:val="right"/>
        <w:rPr>
          <w:rFonts w:ascii="Times" w:hAnsi="Times" w:cs="Times"/>
          <w:b/>
          <w:sz w:val="24"/>
          <w:szCs w:val="24"/>
          <w:lang w:val="en-US" w:eastAsia="en-US"/>
        </w:rPr>
      </w:pPr>
      <w:r w:rsidRPr="009D7E84">
        <w:rPr>
          <w:rFonts w:ascii="Times" w:hAnsi="Times" w:cs="Times"/>
          <w:b/>
          <w:sz w:val="24"/>
          <w:szCs w:val="24"/>
          <w:lang w:val="en-US" w:eastAsia="en-US"/>
        </w:rPr>
        <w:t>(10+5)</w:t>
      </w:r>
    </w:p>
    <w:p w:rsidR="00270A6D" w:rsidRDefault="00270A6D" w:rsidP="00FE1DFA">
      <w:pPr>
        <w:pStyle w:val="ListParagraph"/>
        <w:jc w:val="center"/>
        <w:rPr>
          <w:b/>
        </w:rPr>
      </w:pPr>
    </w:p>
    <w:p w:rsidR="00FE1DFA" w:rsidRPr="00310662" w:rsidRDefault="00FE1DFA" w:rsidP="00FE1DFA">
      <w:pPr>
        <w:pStyle w:val="ListParagraph"/>
        <w:jc w:val="center"/>
        <w:rPr>
          <w:b/>
        </w:rPr>
      </w:pPr>
      <w:r>
        <w:rPr>
          <w:b/>
        </w:rPr>
        <w:t>******************************</w:t>
      </w:r>
    </w:p>
    <w:p w:rsidR="00F03188" w:rsidRDefault="00F03188"/>
    <w:sectPr w:rsidR="00F03188" w:rsidSect="00CB45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826" w:rsidRDefault="00277826" w:rsidP="006A562A">
      <w:pPr>
        <w:spacing w:after="0" w:line="240" w:lineRule="auto"/>
      </w:pPr>
      <w:r>
        <w:separator/>
      </w:r>
    </w:p>
  </w:endnote>
  <w:endnote w:type="continuationSeparator" w:id="0">
    <w:p w:rsidR="00277826" w:rsidRDefault="00277826" w:rsidP="006A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62A" w:rsidRDefault="006A56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62A" w:rsidRDefault="006A56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62A" w:rsidRDefault="006A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826" w:rsidRDefault="00277826" w:rsidP="006A562A">
      <w:pPr>
        <w:spacing w:after="0" w:line="240" w:lineRule="auto"/>
      </w:pPr>
      <w:r>
        <w:separator/>
      </w:r>
    </w:p>
  </w:footnote>
  <w:footnote w:type="continuationSeparator" w:id="0">
    <w:p w:rsidR="00277826" w:rsidRDefault="00277826" w:rsidP="006A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62A" w:rsidRDefault="006A56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669107"/>
      <w:docPartObj>
        <w:docPartGallery w:val="Watermarks"/>
        <w:docPartUnique/>
      </w:docPartObj>
    </w:sdtPr>
    <w:sdtEndPr/>
    <w:sdtContent>
      <w:p w:rsidR="006A562A" w:rsidRDefault="0027782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62A" w:rsidRDefault="006A56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2B8"/>
    <w:multiLevelType w:val="hybridMultilevel"/>
    <w:tmpl w:val="18246C1A"/>
    <w:lvl w:ilvl="0" w:tplc="78D865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C86055"/>
    <w:multiLevelType w:val="hybridMultilevel"/>
    <w:tmpl w:val="C0726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6715AB"/>
    <w:multiLevelType w:val="hybridMultilevel"/>
    <w:tmpl w:val="E6B439B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435141C3"/>
    <w:multiLevelType w:val="hybridMultilevel"/>
    <w:tmpl w:val="C23E49FE"/>
    <w:lvl w:ilvl="0" w:tplc="711806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FE6B22"/>
    <w:multiLevelType w:val="hybridMultilevel"/>
    <w:tmpl w:val="4C688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E39D3"/>
    <w:multiLevelType w:val="hybridMultilevel"/>
    <w:tmpl w:val="CE3C5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55119"/>
    <w:multiLevelType w:val="hybridMultilevel"/>
    <w:tmpl w:val="C7D81D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2A687D"/>
    <w:multiLevelType w:val="hybridMultilevel"/>
    <w:tmpl w:val="B270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DFA"/>
    <w:rsid w:val="00052B5B"/>
    <w:rsid w:val="000E0AF2"/>
    <w:rsid w:val="00105E33"/>
    <w:rsid w:val="00163156"/>
    <w:rsid w:val="00167C5A"/>
    <w:rsid w:val="001A2800"/>
    <w:rsid w:val="001C3BA7"/>
    <w:rsid w:val="00212C6B"/>
    <w:rsid w:val="00270A6D"/>
    <w:rsid w:val="00277826"/>
    <w:rsid w:val="0036218D"/>
    <w:rsid w:val="003B5435"/>
    <w:rsid w:val="003C4898"/>
    <w:rsid w:val="00452C06"/>
    <w:rsid w:val="00481BA8"/>
    <w:rsid w:val="00487454"/>
    <w:rsid w:val="004975DF"/>
    <w:rsid w:val="004B687A"/>
    <w:rsid w:val="004D046A"/>
    <w:rsid w:val="005324BA"/>
    <w:rsid w:val="00565E90"/>
    <w:rsid w:val="00573DDA"/>
    <w:rsid w:val="005745B9"/>
    <w:rsid w:val="005C5534"/>
    <w:rsid w:val="005E2240"/>
    <w:rsid w:val="005E70FB"/>
    <w:rsid w:val="005F0C4F"/>
    <w:rsid w:val="00635FD8"/>
    <w:rsid w:val="006542FB"/>
    <w:rsid w:val="00671C7F"/>
    <w:rsid w:val="00676823"/>
    <w:rsid w:val="00693E1C"/>
    <w:rsid w:val="006A562A"/>
    <w:rsid w:val="006C4419"/>
    <w:rsid w:val="006C4DFC"/>
    <w:rsid w:val="006C57BD"/>
    <w:rsid w:val="0070256F"/>
    <w:rsid w:val="00720184"/>
    <w:rsid w:val="00745087"/>
    <w:rsid w:val="00770CF7"/>
    <w:rsid w:val="007E4862"/>
    <w:rsid w:val="00820D9B"/>
    <w:rsid w:val="00834752"/>
    <w:rsid w:val="0084468F"/>
    <w:rsid w:val="008C200B"/>
    <w:rsid w:val="009405A5"/>
    <w:rsid w:val="00965B7B"/>
    <w:rsid w:val="00982E01"/>
    <w:rsid w:val="009D7E84"/>
    <w:rsid w:val="00A434E4"/>
    <w:rsid w:val="00A656F3"/>
    <w:rsid w:val="00AA3FB6"/>
    <w:rsid w:val="00AE7784"/>
    <w:rsid w:val="00B05A75"/>
    <w:rsid w:val="00BC7F35"/>
    <w:rsid w:val="00BD3E19"/>
    <w:rsid w:val="00BE5CF2"/>
    <w:rsid w:val="00C05BEB"/>
    <w:rsid w:val="00CB458E"/>
    <w:rsid w:val="00CC77B8"/>
    <w:rsid w:val="00CD1F34"/>
    <w:rsid w:val="00D5614B"/>
    <w:rsid w:val="00D97A21"/>
    <w:rsid w:val="00E4386E"/>
    <w:rsid w:val="00E9120E"/>
    <w:rsid w:val="00E917A9"/>
    <w:rsid w:val="00E93984"/>
    <w:rsid w:val="00E9664D"/>
    <w:rsid w:val="00F03188"/>
    <w:rsid w:val="00F3347D"/>
    <w:rsid w:val="00F3579C"/>
    <w:rsid w:val="00F365E5"/>
    <w:rsid w:val="00F63602"/>
    <w:rsid w:val="00F7252B"/>
    <w:rsid w:val="00F844A2"/>
    <w:rsid w:val="00F93948"/>
    <w:rsid w:val="00FA3385"/>
    <w:rsid w:val="00FB79C2"/>
    <w:rsid w:val="00FE1DFA"/>
    <w:rsid w:val="00FF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54AA3DBF-6A00-4A19-AAF4-E4ABF2D4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DFA"/>
    <w:pPr>
      <w:spacing w:after="200" w:line="276" w:lineRule="auto"/>
    </w:pPr>
    <w:rPr>
      <w:sz w:val="22"/>
      <w:szCs w:val="22"/>
      <w:lang w:val="en-AU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1D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E1DF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FE1D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DF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DFA"/>
    <w:rPr>
      <w:rFonts w:ascii="Lucida Grande" w:hAnsi="Lucida Grande" w:cs="Lucida Grande"/>
      <w:sz w:val="18"/>
      <w:szCs w:val="18"/>
      <w:lang w:val="en-AU" w:eastAsia="en-IN"/>
    </w:rPr>
  </w:style>
  <w:style w:type="table" w:styleId="TableGrid">
    <w:name w:val="Table Grid"/>
    <w:basedOn w:val="TableNormal"/>
    <w:uiPriority w:val="59"/>
    <w:rsid w:val="00F6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562A"/>
    <w:rPr>
      <w:rFonts w:ascii="Calibri" w:eastAsia="Times New Roman" w:hAnsi="Calibri" w:cs="Times New Roman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A5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62A"/>
    <w:rPr>
      <w:sz w:val="22"/>
      <w:szCs w:val="22"/>
      <w:lang w:val="en-AU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A5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62A"/>
    <w:rPr>
      <w:sz w:val="22"/>
      <w:szCs w:val="22"/>
      <w:lang w:val="en-AU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35A550-0A1C-418C-A42B-3160E234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14</cp:revision>
  <cp:lastPrinted>2019-06-27T06:49:00Z</cp:lastPrinted>
  <dcterms:created xsi:type="dcterms:W3CDTF">2019-01-30T14:09:00Z</dcterms:created>
  <dcterms:modified xsi:type="dcterms:W3CDTF">2022-05-30T05:52:00Z</dcterms:modified>
</cp:coreProperties>
</file>