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9A30F" w14:textId="77777777" w:rsidR="00E63BDC" w:rsidRDefault="00E63BDC" w:rsidP="00E63BDC">
      <w:pPr>
        <w:spacing w:after="0"/>
        <w:jc w:val="center"/>
        <w:rPr>
          <w:rFonts w:ascii="Arial" w:hAnsi="Arial" w:cs="Arial"/>
          <w:b/>
          <w:sz w:val="24"/>
        </w:rPr>
      </w:pPr>
    </w:p>
    <w:p w14:paraId="7E314B6A" w14:textId="3A48C4CF" w:rsidR="00E63BDC" w:rsidRDefault="007B6D35" w:rsidP="00E63BDC">
      <w:pPr>
        <w:spacing w:after="0"/>
        <w:jc w:val="center"/>
        <w:rPr>
          <w:rFonts w:ascii="Arial" w:hAnsi="Arial" w:cs="Arial"/>
          <w:b/>
          <w:sz w:val="24"/>
        </w:rPr>
      </w:pPr>
      <w:r>
        <w:rPr>
          <w:noProof/>
          <w:lang w:eastAsia="en-IN"/>
        </w:rPr>
        <w:drawing>
          <wp:anchor distT="0" distB="0" distL="114300" distR="114300" simplePos="0" relativeHeight="251659264" behindDoc="0" locked="0" layoutInCell="1" allowOverlap="1" wp14:anchorId="39A42F9D" wp14:editId="6A75178A">
            <wp:simplePos x="0" y="0"/>
            <wp:positionH relativeFrom="column">
              <wp:posOffset>171450</wp:posOffset>
            </wp:positionH>
            <wp:positionV relativeFrom="paragraph">
              <wp:posOffset>9525</wp:posOffset>
            </wp:positionV>
            <wp:extent cx="961390" cy="904240"/>
            <wp:effectExtent l="0" t="0" r="0" b="0"/>
            <wp:wrapNone/>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39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C9027" w14:textId="50F121AC" w:rsidR="007B6D35" w:rsidRDefault="007B6D35" w:rsidP="00E63BDC">
      <w:pPr>
        <w:spacing w:after="0"/>
        <w:jc w:val="center"/>
        <w:rPr>
          <w:rFonts w:ascii="Arial" w:hAnsi="Arial" w:cs="Arial"/>
          <w:b/>
          <w:sz w:val="24"/>
        </w:rPr>
      </w:pPr>
      <w:r>
        <w:rPr>
          <w:noProof/>
          <w:lang w:eastAsia="en-IN"/>
        </w:rPr>
        <mc:AlternateContent>
          <mc:Choice Requires="wps">
            <w:drawing>
              <wp:anchor distT="0" distB="0" distL="114300" distR="114300" simplePos="0" relativeHeight="251660288" behindDoc="0" locked="0" layoutInCell="1" allowOverlap="1" wp14:anchorId="4006E43F" wp14:editId="4E91E633">
                <wp:simplePos x="0" y="0"/>
                <wp:positionH relativeFrom="column">
                  <wp:posOffset>5000625</wp:posOffset>
                </wp:positionH>
                <wp:positionV relativeFrom="paragraph">
                  <wp:posOffset>10795</wp:posOffset>
                </wp:positionV>
                <wp:extent cx="1828800" cy="5619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61975"/>
                        </a:xfrm>
                        <a:prstGeom prst="rect">
                          <a:avLst/>
                        </a:prstGeom>
                        <a:solidFill>
                          <a:srgbClr val="FFFFFF"/>
                        </a:solidFill>
                        <a:ln w="9525">
                          <a:solidFill>
                            <a:srgbClr val="000000"/>
                          </a:solidFill>
                          <a:miter lim="800000"/>
                          <a:headEnd/>
                          <a:tailEnd/>
                        </a:ln>
                      </wps:spPr>
                      <wps:txbx>
                        <w:txbxContent>
                          <w:p w14:paraId="3D433978" w14:textId="77777777" w:rsidR="00E63BDC" w:rsidRDefault="00E63BDC" w:rsidP="00E63BDC">
                            <w:pPr>
                              <w:pStyle w:val="NormalWeb"/>
                              <w:spacing w:before="120" w:beforeAutospacing="0" w:after="120" w:afterAutospacing="0"/>
                            </w:pPr>
                            <w:r>
                              <w:rPr>
                                <w:rFonts w:ascii="Calibri" w:hAnsi="Calibri" w:cs="Calibri"/>
                                <w:color w:val="000000"/>
                                <w:sz w:val="22"/>
                                <w:szCs w:val="22"/>
                                <w:lang w:val="en-IN"/>
                              </w:rPr>
                              <w:t>Register Number:</w:t>
                            </w:r>
                          </w:p>
                          <w:p w14:paraId="57008BC8" w14:textId="77777777" w:rsidR="00E63BDC" w:rsidRDefault="00E63BDC" w:rsidP="00E63BDC">
                            <w:pPr>
                              <w:pStyle w:val="NormalWeb"/>
                              <w:spacing w:before="120" w:beforeAutospacing="0" w:after="120" w:afterAutospacing="0"/>
                            </w:pPr>
                            <w:r>
                              <w:rPr>
                                <w:rFonts w:ascii="Calibri" w:hAnsi="Calibri" w:cs="Calibri"/>
                                <w:color w:val="000000"/>
                                <w:sz w:val="22"/>
                                <w:szCs w:val="22"/>
                                <w:lang w:val="en-IN"/>
                              </w:rPr>
                              <w:t>Date:</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006E43F" id="_x0000_t202" coordsize="21600,21600" o:spt="202" path="m,l,21600r21600,l21600,xe">
                <v:stroke joinstyle="miter"/>
                <v:path gradientshapeok="t" o:connecttype="rect"/>
              </v:shapetype>
              <v:shape id="Text Box 5" o:spid="_x0000_s1026" type="#_x0000_t202" style="position:absolute;left:0;text-align:left;margin-left:393.75pt;margin-top:.85pt;width:2in;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">
                <v:textbox>
                  <w:txbxContent>
                    <w:p w14:paraId="3D433978" w14:textId="77777777" w:rsidR="00E63BDC" w:rsidRDefault="00E63BDC" w:rsidP="00E63BDC">
                      <w:pPr>
                        <w:pStyle w:val="NormalWeb"/>
                        <w:spacing w:before="120" w:beforeAutospacing="0" w:after="120" w:afterAutospacing="0"/>
                      </w:pPr>
                      <w:r>
                        <w:rPr>
                          <w:rFonts w:ascii="Calibri" w:hAnsi="Calibri" w:cs="Calibri"/>
                          <w:color w:val="000000"/>
                          <w:sz w:val="22"/>
                          <w:szCs w:val="22"/>
                          <w:lang w:val="en-IN"/>
                        </w:rPr>
                        <w:t>Register Number:</w:t>
                      </w:r>
                    </w:p>
                    <w:p w14:paraId="57008BC8" w14:textId="77777777" w:rsidR="00E63BDC" w:rsidRDefault="00E63BDC" w:rsidP="00E63BDC">
                      <w:pPr>
                        <w:pStyle w:val="NormalWeb"/>
                        <w:spacing w:before="120" w:beforeAutospacing="0" w:after="120" w:afterAutospacing="0"/>
                      </w:pPr>
                      <w:r>
                        <w:rPr>
                          <w:rFonts w:ascii="Calibri" w:hAnsi="Calibri" w:cs="Calibri"/>
                          <w:color w:val="000000"/>
                          <w:sz w:val="22"/>
                          <w:szCs w:val="22"/>
                          <w:lang w:val="en-IN"/>
                        </w:rPr>
                        <w:t>Date:</w:t>
                      </w:r>
                    </w:p>
                  </w:txbxContent>
                </v:textbox>
              </v:shape>
            </w:pict>
          </mc:Fallback>
        </mc:AlternateContent>
      </w:r>
    </w:p>
    <w:p w14:paraId="5A2305CA" w14:textId="774F5A51" w:rsidR="007B6D35" w:rsidRDefault="007B6D35" w:rsidP="00E63BDC">
      <w:pPr>
        <w:spacing w:after="0"/>
        <w:jc w:val="center"/>
        <w:rPr>
          <w:rFonts w:ascii="Arial" w:hAnsi="Arial" w:cs="Arial"/>
          <w:b/>
          <w:sz w:val="24"/>
        </w:rPr>
      </w:pPr>
    </w:p>
    <w:p w14:paraId="0CA201D5" w14:textId="566A8EB2" w:rsidR="007B6D35" w:rsidRDefault="007B6D35" w:rsidP="00E63BDC">
      <w:pPr>
        <w:spacing w:after="0"/>
        <w:jc w:val="center"/>
        <w:rPr>
          <w:rFonts w:ascii="Arial" w:hAnsi="Arial" w:cs="Arial"/>
          <w:b/>
          <w:sz w:val="24"/>
        </w:rPr>
      </w:pPr>
    </w:p>
    <w:p w14:paraId="3E2D0DFD" w14:textId="09E691A6" w:rsidR="007B6D35" w:rsidRDefault="007B6D35" w:rsidP="00E63BDC">
      <w:pPr>
        <w:spacing w:after="0"/>
        <w:jc w:val="center"/>
        <w:rPr>
          <w:rFonts w:ascii="Arial" w:hAnsi="Arial" w:cs="Arial"/>
          <w:b/>
          <w:sz w:val="24"/>
        </w:rPr>
      </w:pPr>
    </w:p>
    <w:p w14:paraId="617E72EF" w14:textId="77777777" w:rsidR="007B6D35" w:rsidRDefault="007B6D35" w:rsidP="00E63BDC">
      <w:pPr>
        <w:spacing w:after="0"/>
        <w:jc w:val="center"/>
        <w:rPr>
          <w:rFonts w:ascii="Arial" w:hAnsi="Arial" w:cs="Arial"/>
          <w:b/>
          <w:sz w:val="24"/>
        </w:rPr>
      </w:pPr>
    </w:p>
    <w:p w14:paraId="442720F6" w14:textId="63088D21" w:rsidR="00E63BDC" w:rsidRDefault="00E63BDC" w:rsidP="00E63BDC">
      <w:pPr>
        <w:spacing w:after="0"/>
        <w:jc w:val="center"/>
        <w:rPr>
          <w:rFonts w:ascii="Arial" w:hAnsi="Arial" w:cs="Arial"/>
          <w:b/>
          <w:sz w:val="24"/>
        </w:rPr>
      </w:pPr>
    </w:p>
    <w:p w14:paraId="2C285629" w14:textId="4B41B4D5" w:rsidR="00E63BDC" w:rsidRPr="0052281A" w:rsidRDefault="00E63BDC" w:rsidP="00E63BDC">
      <w:pPr>
        <w:spacing w:after="0"/>
        <w:jc w:val="center"/>
        <w:rPr>
          <w:rFonts w:ascii="Arial" w:hAnsi="Arial" w:cs="Arial"/>
          <w:b/>
          <w:sz w:val="24"/>
        </w:rPr>
      </w:pPr>
      <w:r w:rsidRPr="0052281A">
        <w:rPr>
          <w:rFonts w:ascii="Arial" w:hAnsi="Arial" w:cs="Arial"/>
          <w:b/>
          <w:sz w:val="24"/>
        </w:rPr>
        <w:t>ST. JOSEPH’S COLLEGE (AUTONOMOUS), BANGALORE-27</w:t>
      </w:r>
    </w:p>
    <w:p w14:paraId="227E1FBD" w14:textId="258A7819" w:rsidR="00E63BDC" w:rsidRPr="0052281A" w:rsidRDefault="00E63BDC" w:rsidP="00E63BDC">
      <w:pPr>
        <w:spacing w:after="0"/>
        <w:jc w:val="center"/>
        <w:rPr>
          <w:rFonts w:ascii="Arial" w:hAnsi="Arial" w:cs="Arial"/>
          <w:b/>
          <w:sz w:val="24"/>
        </w:rPr>
      </w:pPr>
      <w:r>
        <w:rPr>
          <w:rFonts w:ascii="Arial" w:hAnsi="Arial" w:cs="Arial"/>
          <w:b/>
          <w:sz w:val="24"/>
        </w:rPr>
        <w:t>BBA</w:t>
      </w:r>
      <w:r w:rsidR="00D86956">
        <w:rPr>
          <w:rFonts w:ascii="Arial" w:hAnsi="Arial" w:cs="Arial"/>
          <w:b/>
          <w:sz w:val="24"/>
        </w:rPr>
        <w:t>/BBASF</w:t>
      </w:r>
      <w:r w:rsidRPr="0052281A">
        <w:rPr>
          <w:rFonts w:ascii="Arial" w:hAnsi="Arial" w:cs="Arial"/>
          <w:b/>
          <w:sz w:val="24"/>
        </w:rPr>
        <w:t xml:space="preserve"> –</w:t>
      </w:r>
      <w:r>
        <w:rPr>
          <w:rFonts w:ascii="Arial" w:hAnsi="Arial" w:cs="Arial"/>
          <w:b/>
          <w:sz w:val="24"/>
        </w:rPr>
        <w:t xml:space="preserve"> V</w:t>
      </w:r>
      <w:r w:rsidRPr="0052281A">
        <w:rPr>
          <w:rFonts w:ascii="Arial" w:hAnsi="Arial" w:cs="Arial"/>
          <w:b/>
          <w:sz w:val="24"/>
        </w:rPr>
        <w:t xml:space="preserve"> SEMESTER</w:t>
      </w:r>
    </w:p>
    <w:p w14:paraId="5B945C04" w14:textId="77777777" w:rsidR="00E63BDC" w:rsidRPr="00AA7322" w:rsidRDefault="00E63BDC" w:rsidP="00E63BDC">
      <w:pPr>
        <w:spacing w:after="0"/>
        <w:jc w:val="center"/>
        <w:rPr>
          <w:rFonts w:ascii="Arial" w:hAnsi="Arial" w:cs="Arial"/>
          <w:b/>
          <w:sz w:val="24"/>
        </w:rPr>
      </w:pPr>
      <w:r w:rsidRPr="00AA7322">
        <w:rPr>
          <w:rFonts w:ascii="Arial" w:hAnsi="Arial" w:cs="Arial"/>
          <w:b/>
          <w:sz w:val="24"/>
        </w:rPr>
        <w:t>SEMESTER EXAMINATION: OCTOBER 2021</w:t>
      </w:r>
    </w:p>
    <w:p w14:paraId="659AF4CB" w14:textId="77777777" w:rsidR="00E63BDC" w:rsidRPr="00AA7322" w:rsidRDefault="00E63BDC" w:rsidP="00E63BDC">
      <w:pPr>
        <w:spacing w:after="0"/>
        <w:jc w:val="center"/>
        <w:rPr>
          <w:rFonts w:ascii="Arial" w:hAnsi="Arial" w:cs="Arial"/>
          <w:b/>
          <w:sz w:val="18"/>
          <w:szCs w:val="16"/>
        </w:rPr>
      </w:pPr>
      <w:r w:rsidRPr="00AA7322">
        <w:rPr>
          <w:rFonts w:ascii="Arial" w:hAnsi="Arial" w:cs="Arial"/>
          <w:b/>
          <w:sz w:val="18"/>
          <w:szCs w:val="16"/>
        </w:rPr>
        <w:t xml:space="preserve">(Examination conducted in January-March </w:t>
      </w:r>
      <w:r>
        <w:rPr>
          <w:rFonts w:ascii="Arial" w:hAnsi="Arial" w:cs="Arial"/>
          <w:b/>
          <w:sz w:val="18"/>
          <w:szCs w:val="16"/>
        </w:rPr>
        <w:t>2022</w:t>
      </w:r>
      <w:r w:rsidRPr="00AA7322">
        <w:rPr>
          <w:rFonts w:ascii="Arial" w:hAnsi="Arial" w:cs="Arial"/>
          <w:b/>
          <w:sz w:val="18"/>
          <w:szCs w:val="16"/>
        </w:rPr>
        <w:t>)</w:t>
      </w:r>
    </w:p>
    <w:p w14:paraId="04AE0CCE" w14:textId="7DE140B7" w:rsidR="00E63BDC" w:rsidRDefault="00E63BDC" w:rsidP="00E63BDC">
      <w:pPr>
        <w:spacing w:after="0"/>
        <w:jc w:val="center"/>
        <w:rPr>
          <w:rFonts w:ascii="Arial" w:hAnsi="Arial" w:cs="Arial"/>
          <w:b/>
          <w:sz w:val="24"/>
        </w:rPr>
      </w:pPr>
      <w:bookmarkStart w:id="0" w:name="_GoBack"/>
      <w:r w:rsidRPr="00E63BDC">
        <w:rPr>
          <w:rFonts w:ascii="Arial" w:hAnsi="Arial" w:cs="Arial"/>
          <w:b/>
          <w:sz w:val="24"/>
        </w:rPr>
        <w:t>BBA</w:t>
      </w:r>
      <w:r w:rsidR="007B6D35">
        <w:rPr>
          <w:rFonts w:ascii="Arial" w:hAnsi="Arial" w:cs="Arial"/>
          <w:b/>
          <w:sz w:val="24"/>
        </w:rPr>
        <w:t xml:space="preserve"> </w:t>
      </w:r>
      <w:r w:rsidRPr="00E63BDC">
        <w:rPr>
          <w:rFonts w:ascii="Arial" w:hAnsi="Arial" w:cs="Arial"/>
          <w:b/>
          <w:sz w:val="24"/>
        </w:rPr>
        <w:t>DEF</w:t>
      </w:r>
      <w:r w:rsidR="007B6D35">
        <w:rPr>
          <w:rFonts w:ascii="Arial" w:hAnsi="Arial" w:cs="Arial"/>
          <w:b/>
          <w:sz w:val="24"/>
        </w:rPr>
        <w:t xml:space="preserve"> </w:t>
      </w:r>
      <w:r w:rsidRPr="00E63BDC">
        <w:rPr>
          <w:rFonts w:ascii="Arial" w:hAnsi="Arial" w:cs="Arial"/>
          <w:b/>
          <w:sz w:val="24"/>
        </w:rPr>
        <w:t>5619</w:t>
      </w:r>
      <w:r w:rsidRPr="00C77706">
        <w:rPr>
          <w:rFonts w:ascii="Arial" w:hAnsi="Arial" w:cs="Arial"/>
          <w:b/>
          <w:sz w:val="24"/>
        </w:rPr>
        <w:t xml:space="preserve">: </w:t>
      </w:r>
      <w:r w:rsidR="007B6D35" w:rsidRPr="00E63BDC">
        <w:rPr>
          <w:rFonts w:ascii="Arial" w:hAnsi="Arial" w:cs="Arial"/>
          <w:b/>
          <w:sz w:val="24"/>
        </w:rPr>
        <w:t>Financial Services</w:t>
      </w:r>
      <w:bookmarkEnd w:id="0"/>
    </w:p>
    <w:p w14:paraId="242DF462" w14:textId="77777777" w:rsidR="00E63BDC" w:rsidRPr="00C77706" w:rsidRDefault="00E63BDC" w:rsidP="00E63BDC">
      <w:pPr>
        <w:spacing w:after="0"/>
        <w:jc w:val="center"/>
        <w:rPr>
          <w:rFonts w:ascii="Arial" w:hAnsi="Arial" w:cs="Arial"/>
          <w:b/>
          <w:sz w:val="24"/>
        </w:rPr>
      </w:pPr>
    </w:p>
    <w:p w14:paraId="12051A43" w14:textId="77777777" w:rsidR="00E63BDC" w:rsidRPr="0052281A" w:rsidRDefault="00E63BDC" w:rsidP="00E63BDC">
      <w:pPr>
        <w:spacing w:after="0"/>
        <w:rPr>
          <w:rFonts w:ascii="Arial" w:hAnsi="Arial" w:cs="Arial"/>
          <w:b/>
        </w:rPr>
      </w:pPr>
      <w:r w:rsidRPr="0052281A">
        <w:rPr>
          <w:rFonts w:ascii="Arial" w:hAnsi="Arial" w:cs="Arial"/>
          <w:b/>
        </w:rPr>
        <w:t>Time: 2 ½ Hours</w:t>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Pr>
          <w:rFonts w:ascii="Arial" w:hAnsi="Arial" w:cs="Arial"/>
          <w:b/>
        </w:rPr>
        <w:t xml:space="preserve">    </w:t>
      </w:r>
      <w:r w:rsidRPr="0052281A">
        <w:rPr>
          <w:rFonts w:ascii="Arial" w:hAnsi="Arial" w:cs="Arial"/>
          <w:b/>
        </w:rPr>
        <w:t>Max Marks: 70</w:t>
      </w:r>
    </w:p>
    <w:p w14:paraId="68CD3AD4" w14:textId="77777777" w:rsidR="00E63BDC" w:rsidRPr="0052281A" w:rsidRDefault="00E63BDC" w:rsidP="00E63BDC">
      <w:pPr>
        <w:spacing w:after="0"/>
        <w:jc w:val="center"/>
        <w:rPr>
          <w:rFonts w:ascii="Arial" w:hAnsi="Arial" w:cs="Arial"/>
          <w:b/>
        </w:rPr>
      </w:pPr>
      <w:r w:rsidRPr="0052281A">
        <w:rPr>
          <w:rFonts w:ascii="Arial" w:hAnsi="Arial" w:cs="Arial"/>
          <w:b/>
        </w:rPr>
        <w:t>This paper contains two printed pages and four parts</w:t>
      </w:r>
    </w:p>
    <w:p w14:paraId="2456C397" w14:textId="77777777" w:rsidR="00E63BDC" w:rsidRPr="0052281A" w:rsidRDefault="00E63BDC" w:rsidP="00E63BDC">
      <w:pPr>
        <w:spacing w:after="0"/>
        <w:rPr>
          <w:rFonts w:ascii="Arial" w:hAnsi="Arial" w:cs="Arial"/>
        </w:rPr>
      </w:pPr>
    </w:p>
    <w:p w14:paraId="2F9A32E6" w14:textId="77777777" w:rsidR="00E63BDC" w:rsidRDefault="00E63BDC" w:rsidP="00E63BDC">
      <w:pPr>
        <w:spacing w:after="0"/>
        <w:jc w:val="center"/>
        <w:rPr>
          <w:rFonts w:ascii="Arial" w:hAnsi="Arial" w:cs="Arial"/>
          <w:b/>
        </w:rPr>
      </w:pPr>
      <w:r w:rsidRPr="0052281A">
        <w:rPr>
          <w:rFonts w:ascii="Arial" w:hAnsi="Arial" w:cs="Arial"/>
          <w:b/>
        </w:rPr>
        <w:t>Section A</w:t>
      </w:r>
      <w:r w:rsidRPr="00F46815">
        <w:rPr>
          <w:noProof/>
        </w:rPr>
        <w:t xml:space="preserve"> </w:t>
      </w:r>
    </w:p>
    <w:p w14:paraId="499F807D" w14:textId="77777777" w:rsidR="00E63BDC" w:rsidRPr="0052281A" w:rsidRDefault="00E63BDC" w:rsidP="00E63BDC">
      <w:pPr>
        <w:spacing w:after="0"/>
        <w:jc w:val="center"/>
        <w:rPr>
          <w:rFonts w:ascii="Arial" w:hAnsi="Arial" w:cs="Arial"/>
          <w:b/>
        </w:rPr>
      </w:pPr>
    </w:p>
    <w:p w14:paraId="07111A93" w14:textId="77777777" w:rsidR="00E63BDC" w:rsidRPr="0052281A" w:rsidRDefault="00E63BDC" w:rsidP="00E63BDC">
      <w:pPr>
        <w:spacing w:after="0"/>
        <w:rPr>
          <w:rFonts w:ascii="Arial" w:hAnsi="Arial" w:cs="Arial"/>
          <w:b/>
        </w:rPr>
      </w:pPr>
      <w:r w:rsidRPr="0052281A">
        <w:rPr>
          <w:rFonts w:ascii="Arial" w:hAnsi="Arial" w:cs="Arial"/>
          <w:b/>
        </w:rPr>
        <w:t xml:space="preserve">I Answer any </w:t>
      </w:r>
      <w:r>
        <w:rPr>
          <w:rFonts w:ascii="Arial" w:hAnsi="Arial" w:cs="Arial"/>
          <w:b/>
        </w:rPr>
        <w:t>five</w:t>
      </w:r>
      <w:r w:rsidRPr="0052281A">
        <w:rPr>
          <w:rFonts w:ascii="Arial" w:hAnsi="Arial" w:cs="Arial"/>
          <w:b/>
        </w:rPr>
        <w:t xml:space="preserve"> of the following</w:t>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t>(</w:t>
      </w:r>
      <w:r>
        <w:rPr>
          <w:rFonts w:ascii="Arial" w:hAnsi="Arial" w:cs="Arial"/>
          <w:b/>
        </w:rPr>
        <w:t>5</w:t>
      </w:r>
      <w:r w:rsidRPr="0052281A">
        <w:rPr>
          <w:rFonts w:ascii="Arial" w:hAnsi="Arial" w:cs="Arial"/>
          <w:b/>
        </w:rPr>
        <w:t xml:space="preserve"> X 2</w:t>
      </w:r>
      <w:r>
        <w:rPr>
          <w:rFonts w:ascii="Arial" w:hAnsi="Arial" w:cs="Arial"/>
          <w:b/>
        </w:rPr>
        <w:t>M</w:t>
      </w:r>
      <w:r w:rsidRPr="0052281A">
        <w:rPr>
          <w:rFonts w:ascii="Arial" w:hAnsi="Arial" w:cs="Arial"/>
          <w:b/>
        </w:rPr>
        <w:t xml:space="preserve"> = </w:t>
      </w:r>
      <w:r>
        <w:rPr>
          <w:rFonts w:ascii="Arial" w:hAnsi="Arial" w:cs="Arial"/>
          <w:b/>
        </w:rPr>
        <w:t>1</w:t>
      </w:r>
      <w:r w:rsidRPr="0052281A">
        <w:rPr>
          <w:rFonts w:ascii="Arial" w:hAnsi="Arial" w:cs="Arial"/>
          <w:b/>
        </w:rPr>
        <w:t>0</w:t>
      </w:r>
      <w:r>
        <w:rPr>
          <w:rFonts w:ascii="Arial" w:hAnsi="Arial" w:cs="Arial"/>
          <w:b/>
        </w:rPr>
        <w:t xml:space="preserve"> </w:t>
      </w:r>
      <w:r w:rsidRPr="0052281A">
        <w:rPr>
          <w:rFonts w:ascii="Arial" w:hAnsi="Arial" w:cs="Arial"/>
          <w:b/>
        </w:rPr>
        <w:t>marks)</w:t>
      </w:r>
    </w:p>
    <w:p w14:paraId="363520BE" w14:textId="77777777" w:rsidR="00E63BDC" w:rsidRDefault="00E63BDC" w:rsidP="00E63BDC">
      <w:pPr>
        <w:spacing w:after="0"/>
        <w:ind w:left="720" w:hanging="360"/>
      </w:pPr>
    </w:p>
    <w:p w14:paraId="2F35DA5D" w14:textId="365FE7D1" w:rsidR="00E63BDC" w:rsidRDefault="00E63BDC" w:rsidP="00E63BDC">
      <w:pPr>
        <w:pStyle w:val="ListParagraph"/>
        <w:numPr>
          <w:ilvl w:val="0"/>
          <w:numId w:val="1"/>
        </w:numPr>
        <w:spacing w:after="0" w:line="360" w:lineRule="auto"/>
        <w:rPr>
          <w:rFonts w:ascii="Arial" w:hAnsi="Arial" w:cs="Arial"/>
          <w:lang w:val="en-US"/>
        </w:rPr>
      </w:pPr>
      <w:r>
        <w:rPr>
          <w:rFonts w:ascii="Arial" w:hAnsi="Arial" w:cs="Arial"/>
          <w:lang w:val="en-US"/>
        </w:rPr>
        <w:t>Why mutual funds investments are subject to market risk?</w:t>
      </w:r>
    </w:p>
    <w:p w14:paraId="184D042F" w14:textId="19EEFB2D" w:rsidR="00E63BDC" w:rsidRDefault="00E63BDC" w:rsidP="00E63BDC">
      <w:pPr>
        <w:pStyle w:val="ListParagraph"/>
        <w:numPr>
          <w:ilvl w:val="0"/>
          <w:numId w:val="1"/>
        </w:numPr>
        <w:spacing w:after="0" w:line="360" w:lineRule="auto"/>
        <w:rPr>
          <w:rFonts w:ascii="Arial" w:hAnsi="Arial" w:cs="Arial"/>
          <w:lang w:val="en-US"/>
        </w:rPr>
      </w:pPr>
      <w:r>
        <w:rPr>
          <w:rFonts w:ascii="Arial" w:hAnsi="Arial" w:cs="Arial"/>
          <w:lang w:val="en-US"/>
        </w:rPr>
        <w:t xml:space="preserve">Expand (a) </w:t>
      </w:r>
      <w:r w:rsidRPr="00E63BDC">
        <w:rPr>
          <w:rFonts w:ascii="Arial" w:hAnsi="Arial" w:cs="Arial"/>
          <w:lang w:val="en-US"/>
        </w:rPr>
        <w:t>CRISIL</w:t>
      </w:r>
      <w:r>
        <w:rPr>
          <w:rFonts w:ascii="Arial" w:hAnsi="Arial" w:cs="Arial"/>
          <w:lang w:val="en-US"/>
        </w:rPr>
        <w:t xml:space="preserve"> (b) </w:t>
      </w:r>
      <w:r w:rsidRPr="00E63BDC">
        <w:rPr>
          <w:rFonts w:ascii="Arial" w:hAnsi="Arial" w:cs="Arial"/>
          <w:lang w:val="en-US"/>
        </w:rPr>
        <w:t>NASDAQ</w:t>
      </w:r>
    </w:p>
    <w:p w14:paraId="7FB6913E" w14:textId="4AD70D5F" w:rsidR="00E63BDC" w:rsidRDefault="00E63BDC" w:rsidP="00E63BDC">
      <w:pPr>
        <w:pStyle w:val="ListParagraph"/>
        <w:numPr>
          <w:ilvl w:val="0"/>
          <w:numId w:val="1"/>
        </w:numPr>
        <w:spacing w:after="0" w:line="360" w:lineRule="auto"/>
        <w:rPr>
          <w:rFonts w:ascii="Arial" w:hAnsi="Arial" w:cs="Arial"/>
          <w:lang w:val="en-US"/>
        </w:rPr>
      </w:pPr>
      <w:r>
        <w:rPr>
          <w:rFonts w:ascii="Arial" w:hAnsi="Arial" w:cs="Arial"/>
          <w:lang w:val="en-US"/>
        </w:rPr>
        <w:t>Define fintech</w:t>
      </w:r>
      <w:r w:rsidR="00F93436">
        <w:rPr>
          <w:rFonts w:ascii="Arial" w:hAnsi="Arial" w:cs="Arial"/>
          <w:lang w:val="en-US"/>
        </w:rPr>
        <w:t>.</w:t>
      </w:r>
    </w:p>
    <w:p w14:paraId="1463C988" w14:textId="3728E11C" w:rsidR="00E63BDC" w:rsidRDefault="00E63BDC" w:rsidP="00E63BDC">
      <w:pPr>
        <w:pStyle w:val="ListParagraph"/>
        <w:numPr>
          <w:ilvl w:val="0"/>
          <w:numId w:val="1"/>
        </w:numPr>
        <w:spacing w:after="0" w:line="360" w:lineRule="auto"/>
        <w:rPr>
          <w:rFonts w:ascii="Arial" w:hAnsi="Arial" w:cs="Arial"/>
          <w:lang w:val="en-US"/>
        </w:rPr>
      </w:pPr>
      <w:r>
        <w:rPr>
          <w:rFonts w:ascii="Arial" w:hAnsi="Arial" w:cs="Arial"/>
          <w:lang w:val="en-US"/>
        </w:rPr>
        <w:t xml:space="preserve">Differentiate </w:t>
      </w:r>
      <w:r w:rsidRPr="00E63BDC">
        <w:rPr>
          <w:rFonts w:ascii="Arial" w:hAnsi="Arial" w:cs="Arial"/>
          <w:lang w:val="en-US"/>
        </w:rPr>
        <w:t>primary and secondary</w:t>
      </w:r>
      <w:r>
        <w:rPr>
          <w:rFonts w:ascii="Arial" w:hAnsi="Arial" w:cs="Arial"/>
          <w:lang w:val="en-US"/>
        </w:rPr>
        <w:t xml:space="preserve"> market</w:t>
      </w:r>
      <w:r w:rsidR="00F93436">
        <w:rPr>
          <w:rFonts w:ascii="Arial" w:hAnsi="Arial" w:cs="Arial"/>
          <w:lang w:val="en-US"/>
        </w:rPr>
        <w:t>.</w:t>
      </w:r>
    </w:p>
    <w:p w14:paraId="3855AA56" w14:textId="2059EAF5" w:rsidR="00E63BDC" w:rsidRDefault="00F01414" w:rsidP="00E63BDC">
      <w:pPr>
        <w:pStyle w:val="ListParagraph"/>
        <w:numPr>
          <w:ilvl w:val="0"/>
          <w:numId w:val="1"/>
        </w:numPr>
        <w:spacing w:after="0" w:line="360" w:lineRule="auto"/>
        <w:rPr>
          <w:rFonts w:ascii="Arial" w:hAnsi="Arial" w:cs="Arial"/>
          <w:lang w:val="en-US"/>
        </w:rPr>
      </w:pPr>
      <w:r>
        <w:rPr>
          <w:rFonts w:ascii="Arial" w:hAnsi="Arial" w:cs="Arial"/>
          <w:lang w:val="en-US"/>
        </w:rPr>
        <w:t>What is a depository receipt?</w:t>
      </w:r>
    </w:p>
    <w:p w14:paraId="34976C8E" w14:textId="3650C2B8" w:rsidR="00F01414" w:rsidRDefault="00F01414" w:rsidP="00E63BDC">
      <w:pPr>
        <w:pStyle w:val="ListParagraph"/>
        <w:numPr>
          <w:ilvl w:val="0"/>
          <w:numId w:val="1"/>
        </w:numPr>
        <w:spacing w:after="0" w:line="360" w:lineRule="auto"/>
        <w:rPr>
          <w:rFonts w:ascii="Arial" w:hAnsi="Arial" w:cs="Arial"/>
          <w:lang w:val="en-US"/>
        </w:rPr>
      </w:pPr>
      <w:r>
        <w:rPr>
          <w:rFonts w:ascii="Arial" w:hAnsi="Arial" w:cs="Arial"/>
          <w:lang w:val="en-US"/>
        </w:rPr>
        <w:t>Give the meaning of credit rating</w:t>
      </w:r>
      <w:r w:rsidR="00F93436">
        <w:rPr>
          <w:rFonts w:ascii="Arial" w:hAnsi="Arial" w:cs="Arial"/>
          <w:lang w:val="en-US"/>
        </w:rPr>
        <w:t>.</w:t>
      </w:r>
    </w:p>
    <w:p w14:paraId="01F5DF03" w14:textId="7DA6A28F" w:rsidR="00F01414" w:rsidRDefault="00F01414" w:rsidP="00F01414">
      <w:pPr>
        <w:spacing w:after="0" w:line="360" w:lineRule="auto"/>
        <w:rPr>
          <w:rFonts w:ascii="Arial" w:hAnsi="Arial" w:cs="Arial"/>
          <w:lang w:val="en-US"/>
        </w:rPr>
      </w:pPr>
    </w:p>
    <w:p w14:paraId="0BC5DFB0" w14:textId="77777777" w:rsidR="00F01414" w:rsidRDefault="00F01414" w:rsidP="00F01414">
      <w:pPr>
        <w:spacing w:after="0"/>
        <w:jc w:val="center"/>
        <w:rPr>
          <w:rFonts w:ascii="Arial" w:hAnsi="Arial" w:cs="Arial"/>
          <w:b/>
        </w:rPr>
      </w:pPr>
      <w:r w:rsidRPr="0052281A">
        <w:rPr>
          <w:rFonts w:ascii="Arial" w:hAnsi="Arial" w:cs="Arial"/>
          <w:b/>
        </w:rPr>
        <w:t>Section B</w:t>
      </w:r>
    </w:p>
    <w:p w14:paraId="412315D0" w14:textId="77777777" w:rsidR="00F01414" w:rsidRPr="0052281A" w:rsidRDefault="00F01414" w:rsidP="00F01414">
      <w:pPr>
        <w:spacing w:after="0"/>
        <w:jc w:val="center"/>
        <w:rPr>
          <w:rFonts w:ascii="Arial" w:hAnsi="Arial" w:cs="Arial"/>
          <w:b/>
        </w:rPr>
      </w:pPr>
    </w:p>
    <w:p w14:paraId="7A08B336" w14:textId="77777777" w:rsidR="00F01414" w:rsidRPr="0052281A" w:rsidRDefault="00F01414" w:rsidP="00F01414">
      <w:pPr>
        <w:spacing w:after="0"/>
        <w:rPr>
          <w:rFonts w:ascii="Arial" w:hAnsi="Arial" w:cs="Arial"/>
          <w:b/>
        </w:rPr>
      </w:pPr>
      <w:r w:rsidRPr="0052281A">
        <w:rPr>
          <w:rFonts w:ascii="Arial" w:hAnsi="Arial" w:cs="Arial"/>
          <w:b/>
        </w:rPr>
        <w:t xml:space="preserve">II Answer any three of the following </w:t>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t>(</w:t>
      </w:r>
      <w:r>
        <w:rPr>
          <w:rFonts w:ascii="Arial" w:hAnsi="Arial" w:cs="Arial"/>
          <w:b/>
        </w:rPr>
        <w:t>5</w:t>
      </w:r>
      <w:r w:rsidRPr="0052281A">
        <w:rPr>
          <w:rFonts w:ascii="Arial" w:hAnsi="Arial" w:cs="Arial"/>
          <w:b/>
        </w:rPr>
        <w:t xml:space="preserve"> x </w:t>
      </w:r>
      <w:r>
        <w:rPr>
          <w:rFonts w:ascii="Arial" w:hAnsi="Arial" w:cs="Arial"/>
          <w:b/>
        </w:rPr>
        <w:t>3M</w:t>
      </w:r>
      <w:r w:rsidRPr="0052281A">
        <w:rPr>
          <w:rFonts w:ascii="Arial" w:hAnsi="Arial" w:cs="Arial"/>
          <w:b/>
        </w:rPr>
        <w:t xml:space="preserve"> = 15 marks)</w:t>
      </w:r>
    </w:p>
    <w:p w14:paraId="3AD018FA" w14:textId="77777777" w:rsidR="00F01414" w:rsidRDefault="00F01414" w:rsidP="00F01414">
      <w:pPr>
        <w:spacing w:after="0" w:line="360" w:lineRule="auto"/>
        <w:rPr>
          <w:rFonts w:ascii="Arial" w:hAnsi="Arial" w:cs="Arial"/>
          <w:lang w:val="en-US"/>
        </w:rPr>
      </w:pPr>
    </w:p>
    <w:p w14:paraId="5C5AFA1F" w14:textId="772C2B34" w:rsidR="00F01414" w:rsidRDefault="00F01414" w:rsidP="003C28FA">
      <w:pPr>
        <w:pStyle w:val="ListParagraph"/>
        <w:numPr>
          <w:ilvl w:val="0"/>
          <w:numId w:val="1"/>
        </w:numPr>
        <w:spacing w:after="0" w:line="360" w:lineRule="auto"/>
        <w:rPr>
          <w:rFonts w:ascii="Arial" w:hAnsi="Arial" w:cs="Arial"/>
          <w:lang w:val="en-US"/>
        </w:rPr>
      </w:pPr>
      <w:r w:rsidRPr="00AA7322">
        <w:rPr>
          <w:rFonts w:ascii="Arial" w:hAnsi="Arial" w:cs="Arial"/>
          <w:lang w:val="en-US"/>
        </w:rPr>
        <w:t xml:space="preserve">Briefly explain </w:t>
      </w:r>
      <w:r>
        <w:rPr>
          <w:rFonts w:ascii="Arial" w:hAnsi="Arial" w:cs="Arial"/>
          <w:lang w:val="en-US"/>
        </w:rPr>
        <w:t xml:space="preserve">the </w:t>
      </w:r>
      <w:r w:rsidRPr="00F01414">
        <w:rPr>
          <w:rFonts w:ascii="Arial" w:hAnsi="Arial" w:cs="Arial"/>
          <w:lang w:val="en-US"/>
        </w:rPr>
        <w:t>process of credit rating for individuals</w:t>
      </w:r>
      <w:r w:rsidR="00F30103">
        <w:rPr>
          <w:rFonts w:ascii="Arial" w:hAnsi="Arial" w:cs="Arial"/>
          <w:lang w:val="en-US"/>
        </w:rPr>
        <w:t>.</w:t>
      </w:r>
    </w:p>
    <w:p w14:paraId="6C206BA4" w14:textId="7482618D" w:rsidR="00F01414" w:rsidRPr="00FD3396" w:rsidRDefault="00F01414" w:rsidP="00FD3396">
      <w:pPr>
        <w:pStyle w:val="ListParagraph"/>
        <w:numPr>
          <w:ilvl w:val="0"/>
          <w:numId w:val="1"/>
        </w:numPr>
        <w:spacing w:after="0" w:line="360" w:lineRule="auto"/>
        <w:rPr>
          <w:rFonts w:ascii="Arial" w:hAnsi="Arial" w:cs="Arial"/>
          <w:lang w:val="en-US"/>
        </w:rPr>
      </w:pPr>
      <w:r w:rsidRPr="00F01414">
        <w:rPr>
          <w:rFonts w:ascii="Arial" w:hAnsi="Arial" w:cs="Arial"/>
          <w:lang w:val="en-US"/>
        </w:rPr>
        <w:t>What is crypto currency</w:t>
      </w:r>
      <w:r>
        <w:rPr>
          <w:rFonts w:ascii="Arial" w:hAnsi="Arial" w:cs="Arial"/>
          <w:lang w:val="en-US"/>
        </w:rPr>
        <w:t xml:space="preserve">? Enlist its </w:t>
      </w:r>
      <w:r w:rsidRPr="00F01414">
        <w:rPr>
          <w:rFonts w:ascii="Arial" w:hAnsi="Arial" w:cs="Arial"/>
          <w:lang w:val="en-US"/>
        </w:rPr>
        <w:t>merits and</w:t>
      </w:r>
      <w:r>
        <w:rPr>
          <w:rFonts w:ascii="Arial" w:hAnsi="Arial" w:cs="Arial"/>
          <w:lang w:val="en-US"/>
        </w:rPr>
        <w:t xml:space="preserve"> </w:t>
      </w:r>
      <w:r w:rsidRPr="00F01414">
        <w:rPr>
          <w:rFonts w:ascii="Arial" w:hAnsi="Arial" w:cs="Arial"/>
          <w:lang w:val="en-US"/>
        </w:rPr>
        <w:t>demerits</w:t>
      </w:r>
      <w:r w:rsidR="00F30103">
        <w:rPr>
          <w:rFonts w:ascii="Arial" w:hAnsi="Arial" w:cs="Arial"/>
          <w:lang w:val="en-US"/>
        </w:rPr>
        <w:t>.</w:t>
      </w:r>
    </w:p>
    <w:p w14:paraId="0AF263EC" w14:textId="48E546BF" w:rsidR="00F01414" w:rsidRDefault="00F01414" w:rsidP="003C28FA">
      <w:pPr>
        <w:pStyle w:val="ListParagraph"/>
        <w:numPr>
          <w:ilvl w:val="0"/>
          <w:numId w:val="1"/>
        </w:numPr>
        <w:spacing w:after="0" w:line="360" w:lineRule="auto"/>
        <w:rPr>
          <w:rFonts w:ascii="Arial" w:hAnsi="Arial" w:cs="Arial"/>
          <w:lang w:val="en-US"/>
        </w:rPr>
      </w:pPr>
      <w:r>
        <w:rPr>
          <w:rFonts w:ascii="Arial" w:hAnsi="Arial" w:cs="Arial"/>
          <w:lang w:val="en-US"/>
        </w:rPr>
        <w:t xml:space="preserve">Differentiate </w:t>
      </w:r>
      <w:r w:rsidRPr="00F01414">
        <w:rPr>
          <w:rFonts w:ascii="Arial" w:hAnsi="Arial" w:cs="Arial"/>
          <w:lang w:val="en-US"/>
        </w:rPr>
        <w:t>Lease and Hire purchase</w:t>
      </w:r>
      <w:r w:rsidR="00F30103">
        <w:rPr>
          <w:rFonts w:ascii="Arial" w:hAnsi="Arial" w:cs="Arial"/>
          <w:lang w:val="en-US"/>
        </w:rPr>
        <w:t>.</w:t>
      </w:r>
    </w:p>
    <w:p w14:paraId="3E616308" w14:textId="1ED7F637" w:rsidR="00F01414" w:rsidRDefault="00F01414" w:rsidP="003C28FA">
      <w:pPr>
        <w:pStyle w:val="ListParagraph"/>
        <w:numPr>
          <w:ilvl w:val="0"/>
          <w:numId w:val="1"/>
        </w:numPr>
        <w:spacing w:after="0" w:line="360" w:lineRule="auto"/>
        <w:rPr>
          <w:rFonts w:ascii="Arial" w:hAnsi="Arial" w:cs="Arial"/>
          <w:lang w:val="en-US"/>
        </w:rPr>
      </w:pPr>
      <w:r>
        <w:rPr>
          <w:rFonts w:ascii="Arial" w:hAnsi="Arial" w:cs="Arial"/>
          <w:lang w:val="en-US"/>
        </w:rPr>
        <w:t xml:space="preserve">Give an account of </w:t>
      </w:r>
      <w:r w:rsidRPr="00F01414">
        <w:rPr>
          <w:rFonts w:ascii="Arial" w:hAnsi="Arial" w:cs="Arial"/>
          <w:lang w:val="en-US"/>
        </w:rPr>
        <w:t>players in the stock market</w:t>
      </w:r>
      <w:r w:rsidR="00F30103">
        <w:rPr>
          <w:rFonts w:ascii="Arial" w:hAnsi="Arial" w:cs="Arial"/>
          <w:lang w:val="en-US"/>
        </w:rPr>
        <w:t>.</w:t>
      </w:r>
    </w:p>
    <w:p w14:paraId="5978B302" w14:textId="2414AC1B" w:rsidR="00F01414" w:rsidRDefault="00F01414" w:rsidP="00F01414">
      <w:pPr>
        <w:spacing w:after="0" w:line="360" w:lineRule="auto"/>
        <w:rPr>
          <w:rFonts w:ascii="Arial" w:hAnsi="Arial" w:cs="Arial"/>
          <w:lang w:val="en-US"/>
        </w:rPr>
      </w:pPr>
    </w:p>
    <w:p w14:paraId="5189F02A" w14:textId="77777777" w:rsidR="00F01414" w:rsidRDefault="00F01414" w:rsidP="00F01414">
      <w:pPr>
        <w:spacing w:after="0"/>
        <w:jc w:val="center"/>
        <w:rPr>
          <w:rFonts w:ascii="Arial" w:hAnsi="Arial" w:cs="Arial"/>
          <w:b/>
        </w:rPr>
      </w:pPr>
      <w:r w:rsidRPr="0052281A">
        <w:rPr>
          <w:rFonts w:ascii="Arial" w:hAnsi="Arial" w:cs="Arial"/>
          <w:b/>
        </w:rPr>
        <w:t>Section C</w:t>
      </w:r>
    </w:p>
    <w:p w14:paraId="33CF58D8" w14:textId="77777777" w:rsidR="00F01414" w:rsidRPr="0052281A" w:rsidRDefault="00F01414" w:rsidP="00F01414">
      <w:pPr>
        <w:spacing w:after="0"/>
        <w:jc w:val="center"/>
        <w:rPr>
          <w:rFonts w:ascii="Arial" w:hAnsi="Arial" w:cs="Arial"/>
          <w:b/>
        </w:rPr>
      </w:pPr>
    </w:p>
    <w:p w14:paraId="349036C1" w14:textId="77777777" w:rsidR="00F01414" w:rsidRDefault="00F01414" w:rsidP="00F01414">
      <w:pPr>
        <w:spacing w:after="0"/>
        <w:rPr>
          <w:rFonts w:ascii="Arial" w:hAnsi="Arial" w:cs="Arial"/>
          <w:b/>
        </w:rPr>
      </w:pPr>
      <w:r w:rsidRPr="0052281A">
        <w:rPr>
          <w:rFonts w:ascii="Arial" w:hAnsi="Arial" w:cs="Arial"/>
          <w:b/>
        </w:rPr>
        <w:t xml:space="preserve">III Answer any </w:t>
      </w:r>
      <w:r>
        <w:rPr>
          <w:rFonts w:ascii="Arial" w:hAnsi="Arial" w:cs="Arial"/>
          <w:b/>
        </w:rPr>
        <w:t>two</w:t>
      </w:r>
      <w:r w:rsidRPr="0052281A">
        <w:rPr>
          <w:rFonts w:ascii="Arial" w:hAnsi="Arial" w:cs="Arial"/>
          <w:b/>
        </w:rPr>
        <w:t xml:space="preserve"> of the following</w:t>
      </w:r>
      <w:r w:rsidRPr="0052281A">
        <w:rPr>
          <w:rFonts w:ascii="Arial" w:hAnsi="Arial" w:cs="Arial"/>
        </w:rPr>
        <w:t xml:space="preserve"> </w:t>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t>(</w:t>
      </w:r>
      <w:r>
        <w:rPr>
          <w:rFonts w:ascii="Arial" w:hAnsi="Arial" w:cs="Arial"/>
          <w:b/>
        </w:rPr>
        <w:t>2</w:t>
      </w:r>
      <w:r w:rsidRPr="0052281A">
        <w:rPr>
          <w:rFonts w:ascii="Arial" w:hAnsi="Arial" w:cs="Arial"/>
          <w:b/>
        </w:rPr>
        <w:t xml:space="preserve"> x </w:t>
      </w:r>
      <w:r>
        <w:rPr>
          <w:rFonts w:ascii="Arial" w:hAnsi="Arial" w:cs="Arial"/>
          <w:b/>
        </w:rPr>
        <w:t>15M</w:t>
      </w:r>
      <w:r w:rsidRPr="0052281A">
        <w:rPr>
          <w:rFonts w:ascii="Arial" w:hAnsi="Arial" w:cs="Arial"/>
          <w:b/>
        </w:rPr>
        <w:t xml:space="preserve"> = </w:t>
      </w:r>
      <w:r>
        <w:rPr>
          <w:rFonts w:ascii="Arial" w:hAnsi="Arial" w:cs="Arial"/>
          <w:b/>
        </w:rPr>
        <w:t>3</w:t>
      </w:r>
      <w:r w:rsidRPr="0052281A">
        <w:rPr>
          <w:rFonts w:ascii="Arial" w:hAnsi="Arial" w:cs="Arial"/>
          <w:b/>
        </w:rPr>
        <w:t>0 marks)</w:t>
      </w:r>
    </w:p>
    <w:p w14:paraId="1B914D40" w14:textId="77777777" w:rsidR="00F01414" w:rsidRDefault="00F01414" w:rsidP="00F01414">
      <w:pPr>
        <w:spacing w:after="0" w:line="360" w:lineRule="auto"/>
        <w:rPr>
          <w:rFonts w:ascii="Arial" w:hAnsi="Arial" w:cs="Arial"/>
          <w:lang w:val="en-US"/>
        </w:rPr>
      </w:pPr>
    </w:p>
    <w:p w14:paraId="304D6080" w14:textId="7C6912CB" w:rsidR="00F01414" w:rsidRDefault="00F01414" w:rsidP="003C28FA">
      <w:pPr>
        <w:pStyle w:val="ListParagraph"/>
        <w:numPr>
          <w:ilvl w:val="0"/>
          <w:numId w:val="1"/>
        </w:numPr>
        <w:spacing w:after="0" w:line="360" w:lineRule="auto"/>
        <w:rPr>
          <w:rFonts w:ascii="Arial" w:hAnsi="Arial" w:cs="Arial"/>
          <w:lang w:val="en-US"/>
        </w:rPr>
      </w:pPr>
      <w:r>
        <w:rPr>
          <w:rFonts w:ascii="Arial" w:hAnsi="Arial" w:cs="Arial"/>
          <w:lang w:val="en-US"/>
        </w:rPr>
        <w:t>Enumerate various services</w:t>
      </w:r>
      <w:r w:rsidR="008573FA">
        <w:rPr>
          <w:rFonts w:ascii="Arial" w:hAnsi="Arial" w:cs="Arial"/>
          <w:lang w:val="en-US"/>
        </w:rPr>
        <w:t xml:space="preserve"> offered by merchant banker.</w:t>
      </w:r>
    </w:p>
    <w:p w14:paraId="681220AD" w14:textId="50B896BB" w:rsidR="00F01414" w:rsidRDefault="00CF60D4" w:rsidP="003C28FA">
      <w:pPr>
        <w:pStyle w:val="ListParagraph"/>
        <w:numPr>
          <w:ilvl w:val="0"/>
          <w:numId w:val="1"/>
        </w:numPr>
        <w:spacing w:after="0" w:line="360" w:lineRule="auto"/>
        <w:rPr>
          <w:rFonts w:ascii="Arial" w:hAnsi="Arial" w:cs="Arial"/>
          <w:lang w:val="en-US"/>
        </w:rPr>
      </w:pPr>
      <w:r>
        <w:rPr>
          <w:rFonts w:ascii="Arial" w:hAnsi="Arial" w:cs="Arial"/>
          <w:lang w:val="en-US"/>
        </w:rPr>
        <w:t xml:space="preserve">Critically evaluate various </w:t>
      </w:r>
      <w:r w:rsidRPr="00CF60D4">
        <w:rPr>
          <w:rFonts w:ascii="Arial" w:hAnsi="Arial" w:cs="Arial"/>
          <w:lang w:val="en-US"/>
        </w:rPr>
        <w:t>mutual fund schemes</w:t>
      </w:r>
      <w:r w:rsidR="008573FA">
        <w:rPr>
          <w:rFonts w:ascii="Arial" w:hAnsi="Arial" w:cs="Arial"/>
          <w:lang w:val="en-US"/>
        </w:rPr>
        <w:t>.</w:t>
      </w:r>
    </w:p>
    <w:p w14:paraId="345D56DE" w14:textId="233F5BFC" w:rsidR="00CF60D4" w:rsidRDefault="00CF60D4" w:rsidP="003C28FA">
      <w:pPr>
        <w:pStyle w:val="ListParagraph"/>
        <w:numPr>
          <w:ilvl w:val="0"/>
          <w:numId w:val="1"/>
        </w:numPr>
        <w:spacing w:after="0" w:line="360" w:lineRule="auto"/>
        <w:rPr>
          <w:rFonts w:ascii="Arial" w:hAnsi="Arial" w:cs="Arial"/>
          <w:lang w:val="en-US"/>
        </w:rPr>
      </w:pPr>
      <w:r>
        <w:rPr>
          <w:rFonts w:ascii="Arial" w:hAnsi="Arial" w:cs="Arial"/>
          <w:lang w:val="en-US"/>
        </w:rPr>
        <w:t xml:space="preserve">Examine the </w:t>
      </w:r>
      <w:r w:rsidRPr="00CF60D4">
        <w:rPr>
          <w:rFonts w:ascii="Arial" w:hAnsi="Arial" w:cs="Arial"/>
          <w:lang w:val="en-US"/>
        </w:rPr>
        <w:t xml:space="preserve">role and functions </w:t>
      </w:r>
      <w:r>
        <w:rPr>
          <w:rFonts w:ascii="Arial" w:hAnsi="Arial" w:cs="Arial"/>
          <w:lang w:val="en-US"/>
        </w:rPr>
        <w:t xml:space="preserve">of </w:t>
      </w:r>
      <w:r w:rsidRPr="00CF60D4">
        <w:rPr>
          <w:rFonts w:ascii="Arial" w:hAnsi="Arial" w:cs="Arial"/>
          <w:lang w:val="en-US"/>
        </w:rPr>
        <w:t>depositories</w:t>
      </w:r>
      <w:r w:rsidR="008573FA">
        <w:rPr>
          <w:rFonts w:ascii="Arial" w:hAnsi="Arial" w:cs="Arial"/>
          <w:lang w:val="en-US"/>
        </w:rPr>
        <w:t>.</w:t>
      </w:r>
    </w:p>
    <w:p w14:paraId="0B30AD5A" w14:textId="54B53C75" w:rsidR="00CF60D4" w:rsidRDefault="00CF60D4" w:rsidP="00CF60D4">
      <w:pPr>
        <w:spacing w:after="0" w:line="360" w:lineRule="auto"/>
        <w:rPr>
          <w:rFonts w:ascii="Arial" w:hAnsi="Arial" w:cs="Arial"/>
          <w:lang w:val="en-US"/>
        </w:rPr>
      </w:pPr>
    </w:p>
    <w:p w14:paraId="01C5549E" w14:textId="77777777" w:rsidR="007B6D35" w:rsidRDefault="007B6D35" w:rsidP="00CF60D4">
      <w:pPr>
        <w:spacing w:after="0" w:line="360" w:lineRule="auto"/>
        <w:rPr>
          <w:rFonts w:ascii="Arial" w:hAnsi="Arial" w:cs="Arial"/>
          <w:lang w:val="en-US"/>
        </w:rPr>
      </w:pPr>
    </w:p>
    <w:p w14:paraId="0A4BECD2" w14:textId="77777777" w:rsidR="007B6D35" w:rsidRDefault="007B6D35" w:rsidP="00CF60D4">
      <w:pPr>
        <w:spacing w:after="0" w:line="360" w:lineRule="auto"/>
        <w:rPr>
          <w:rFonts w:ascii="Arial" w:hAnsi="Arial" w:cs="Arial"/>
          <w:lang w:val="en-US"/>
        </w:rPr>
      </w:pPr>
    </w:p>
    <w:p w14:paraId="1DC8E958" w14:textId="77777777" w:rsidR="007B6D35" w:rsidRDefault="007B6D35" w:rsidP="00CF60D4">
      <w:pPr>
        <w:spacing w:after="0" w:line="360" w:lineRule="auto"/>
        <w:rPr>
          <w:rFonts w:ascii="Arial" w:hAnsi="Arial" w:cs="Arial"/>
          <w:lang w:val="en-US"/>
        </w:rPr>
      </w:pPr>
    </w:p>
    <w:p w14:paraId="033150F5" w14:textId="77777777" w:rsidR="00CF60D4" w:rsidRDefault="00CF60D4" w:rsidP="00CF60D4">
      <w:pPr>
        <w:ind w:left="360"/>
        <w:jc w:val="center"/>
        <w:rPr>
          <w:rFonts w:ascii="Arial" w:hAnsi="Arial" w:cs="Arial"/>
          <w:b/>
          <w:sz w:val="24"/>
          <w:szCs w:val="24"/>
        </w:rPr>
      </w:pPr>
      <w:r>
        <w:rPr>
          <w:rFonts w:ascii="Arial" w:hAnsi="Arial" w:cs="Arial"/>
          <w:b/>
          <w:sz w:val="24"/>
          <w:szCs w:val="24"/>
        </w:rPr>
        <w:t>Section D</w:t>
      </w:r>
    </w:p>
    <w:p w14:paraId="15FB6FEB" w14:textId="77777777" w:rsidR="00CF60D4" w:rsidRDefault="00CF60D4" w:rsidP="00CF60D4">
      <w:pPr>
        <w:rPr>
          <w:rFonts w:ascii="Arial" w:hAnsi="Arial" w:cs="Arial"/>
          <w:b/>
          <w:szCs w:val="24"/>
        </w:rPr>
      </w:pPr>
      <w:r w:rsidRPr="00D74590">
        <w:rPr>
          <w:rFonts w:ascii="Arial" w:hAnsi="Arial" w:cs="Arial"/>
          <w:b/>
          <w:szCs w:val="24"/>
        </w:rPr>
        <w:t>IV</w:t>
      </w:r>
      <w:r w:rsidRPr="0052281A">
        <w:rPr>
          <w:rFonts w:ascii="Arial" w:hAnsi="Arial" w:cs="Arial"/>
          <w:szCs w:val="24"/>
        </w:rPr>
        <w:t xml:space="preserve"> </w:t>
      </w:r>
      <w:r w:rsidRPr="0052281A">
        <w:rPr>
          <w:rFonts w:ascii="Arial" w:hAnsi="Arial" w:cs="Arial"/>
          <w:b/>
          <w:szCs w:val="24"/>
        </w:rPr>
        <w:t>Compulsory Question</w:t>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t xml:space="preserve"> </w:t>
      </w:r>
      <w:r w:rsidRPr="0052281A">
        <w:rPr>
          <w:rFonts w:ascii="Arial" w:hAnsi="Arial" w:cs="Arial"/>
          <w:b/>
          <w:szCs w:val="24"/>
        </w:rPr>
        <w:tab/>
      </w:r>
      <w:r>
        <w:rPr>
          <w:rFonts w:ascii="Arial" w:hAnsi="Arial" w:cs="Arial"/>
          <w:b/>
          <w:szCs w:val="24"/>
        </w:rPr>
        <w:tab/>
      </w:r>
      <w:r>
        <w:rPr>
          <w:rFonts w:ascii="Arial" w:hAnsi="Arial" w:cs="Arial"/>
          <w:b/>
          <w:szCs w:val="24"/>
        </w:rPr>
        <w:tab/>
      </w:r>
      <w:r w:rsidRPr="0052281A">
        <w:rPr>
          <w:rFonts w:ascii="Arial" w:hAnsi="Arial" w:cs="Arial"/>
          <w:b/>
          <w:szCs w:val="24"/>
        </w:rPr>
        <w:t>(1 X 15 = 15 marks)</w:t>
      </w:r>
    </w:p>
    <w:p w14:paraId="47DD486B" w14:textId="77777777" w:rsidR="00CF60D4" w:rsidRPr="00CF60D4" w:rsidRDefault="00CF60D4" w:rsidP="00CF60D4">
      <w:pPr>
        <w:spacing w:after="0" w:line="360" w:lineRule="auto"/>
        <w:rPr>
          <w:rFonts w:ascii="Arial" w:hAnsi="Arial" w:cs="Arial"/>
          <w:lang w:val="en-US"/>
        </w:rPr>
      </w:pPr>
    </w:p>
    <w:p w14:paraId="0CCE1D3C" w14:textId="3C8786C9" w:rsidR="00740487" w:rsidRDefault="006D4BA7" w:rsidP="00740487">
      <w:pPr>
        <w:pStyle w:val="ListParagraph"/>
        <w:numPr>
          <w:ilvl w:val="0"/>
          <w:numId w:val="1"/>
        </w:numPr>
        <w:spacing w:after="0" w:line="276" w:lineRule="auto"/>
        <w:jc w:val="both"/>
        <w:rPr>
          <w:rFonts w:ascii="Arial" w:hAnsi="Arial" w:cs="Arial"/>
          <w:lang w:val="en-US"/>
        </w:rPr>
      </w:pPr>
      <w:r w:rsidRPr="008573FA">
        <w:rPr>
          <w:rFonts w:ascii="Arial" w:hAnsi="Arial" w:cs="Arial"/>
          <w:lang w:val="en-US"/>
        </w:rPr>
        <w:t>Securitization is an important feature of modern financial systems. Starting in the early 60s, securitization of mortgage loans first became common in the U.S. Securitization steadily became more widespread until the 2000s, when it reached around 50% of outstanding mortgage and consumer loans in the U.S. The years prior to the crisis of 2007-2009 were characterized by a boom in worldwide securitization markets. Between 2000 and 2006, issuance of securitization products more than tripled, from less than $700 billion to about $2,800 billion.</w:t>
      </w:r>
      <w:r w:rsidRPr="006D4BA7">
        <w:t xml:space="preserve"> </w:t>
      </w:r>
      <w:r w:rsidRPr="008573FA">
        <w:rPr>
          <w:rFonts w:ascii="Arial" w:hAnsi="Arial" w:cs="Arial"/>
          <w:lang w:val="en-US"/>
        </w:rPr>
        <w:t xml:space="preserve">Securitization is an important feature of modern financial systems. Starting in the early 60s, securitization of mortgage loans first became common in the U.S. Securitization steadily became more widespread until the 2000s, when it reached around 50% of outstanding mortgage and consumer loans in the U.S. The years prior to the crisis of 2007-2009 were characterized by a boom in worldwide securitization markets. Between 2000 and 2006, issuance of securitization products more than tripled, from less than $700 billion to about $2,800 billion. Amid the carnage, a discussion has emerged about the future of securitization. Several policy-makers have spoken out against, others in favor of securitization markets. Recently, the European Central Bank and the Bank of England (2013) have issued a paper stating their intention to revive securitization markets, focusing on the </w:t>
      </w:r>
      <w:r w:rsidR="00740487" w:rsidRPr="008573FA">
        <w:rPr>
          <w:rFonts w:ascii="Arial" w:hAnsi="Arial" w:cs="Arial"/>
          <w:lang w:val="en-US"/>
        </w:rPr>
        <w:t>high-quality</w:t>
      </w:r>
      <w:r w:rsidRPr="008573FA">
        <w:rPr>
          <w:rFonts w:ascii="Arial" w:hAnsi="Arial" w:cs="Arial"/>
          <w:lang w:val="en-US"/>
        </w:rPr>
        <w:t xml:space="preserve"> segment of the ABS market. </w:t>
      </w:r>
      <w:r w:rsidR="00740487" w:rsidRPr="008573FA">
        <w:rPr>
          <w:rFonts w:ascii="Arial" w:hAnsi="Arial" w:cs="Arial"/>
          <w:lang w:val="en-US"/>
        </w:rPr>
        <w:t xml:space="preserve">Clearly, there are economic benefits and costs to securitization. First and foremost, securitization allows banks to shift risk off their balance sheet and frees up capital for new lending. Securitization is also an important risk management tool, allowing banks to achieve a more diversified pool of exposures. This should lower their cost of taking on risks, the benefit of which should, at least partially, be passed on to borrowers in the form of more favorable lending </w:t>
      </w:r>
      <w:r w:rsidR="00740487" w:rsidRPr="00D06B4F">
        <w:rPr>
          <w:rFonts w:ascii="Arial" w:hAnsi="Arial" w:cs="Arial"/>
          <w:lang w:val="en-US"/>
        </w:rPr>
        <w:t>conditions and higher credit availability. Securitization also allows banks to better insulate themselves from funding shocks, potentially stabilizing credit extension.</w:t>
      </w:r>
      <w:r w:rsidR="00740487" w:rsidRPr="00740487">
        <w:t xml:space="preserve"> </w:t>
      </w:r>
      <w:r w:rsidR="00740487" w:rsidRPr="00D06B4F">
        <w:rPr>
          <w:rFonts w:ascii="Arial" w:hAnsi="Arial" w:cs="Arial"/>
          <w:lang w:val="en-US"/>
        </w:rPr>
        <w:t>On the downside, securitization has demonstrated the potential to reduce the efficiency of financial intermediation. The main reason is the presence of informational problems. In particular, banks, which tend to securitize, become less exposed to borrower risk, which undermines their incentives to screen and monitor. This may result in lower quality lending, and erodes the benefits of intermediation -- relative to market-financing. High complexity has also been identified as a potential cost to securitization, as it reduces the ease with which outsiders can evaluate securitization products, potentially resulting in inefficient investment decisions.</w:t>
      </w:r>
    </w:p>
    <w:p w14:paraId="364AA882" w14:textId="77777777" w:rsidR="007866DB" w:rsidRPr="00675511" w:rsidRDefault="007866DB" w:rsidP="007866DB">
      <w:pPr>
        <w:pStyle w:val="ListParagraph"/>
        <w:spacing w:after="0" w:line="276" w:lineRule="auto"/>
        <w:jc w:val="both"/>
        <w:rPr>
          <w:rFonts w:ascii="Arial" w:hAnsi="Arial" w:cs="Arial"/>
          <w:lang w:val="en-US"/>
        </w:rPr>
      </w:pPr>
    </w:p>
    <w:p w14:paraId="0881C9D4" w14:textId="77C75122" w:rsidR="00740487" w:rsidRDefault="00675511" w:rsidP="00675511">
      <w:pPr>
        <w:pStyle w:val="ListParagraph"/>
        <w:spacing w:after="0" w:line="276" w:lineRule="auto"/>
        <w:jc w:val="both"/>
        <w:rPr>
          <w:rFonts w:ascii="Arial" w:hAnsi="Arial" w:cs="Arial"/>
          <w:lang w:val="en-US"/>
        </w:rPr>
      </w:pPr>
      <w:r>
        <w:rPr>
          <w:rFonts w:ascii="Arial" w:hAnsi="Arial" w:cs="Arial"/>
          <w:lang w:val="en-US"/>
        </w:rPr>
        <w:t>1.</w:t>
      </w:r>
      <w:r w:rsidR="0059586E">
        <w:rPr>
          <w:rFonts w:ascii="Arial" w:hAnsi="Arial" w:cs="Arial"/>
          <w:lang w:val="en-US"/>
        </w:rPr>
        <w:t>Enlist the pros and cons of s</w:t>
      </w:r>
      <w:r w:rsidR="0059586E" w:rsidRPr="0059586E">
        <w:rPr>
          <w:rFonts w:ascii="Arial" w:hAnsi="Arial" w:cs="Arial"/>
          <w:lang w:val="en-US"/>
        </w:rPr>
        <w:t>ecuritization</w:t>
      </w:r>
      <w:r w:rsidR="0059586E">
        <w:rPr>
          <w:rFonts w:ascii="Arial" w:hAnsi="Arial" w:cs="Arial"/>
          <w:lang w:val="en-US"/>
        </w:rPr>
        <w:t xml:space="preserve"> [05]</w:t>
      </w:r>
    </w:p>
    <w:p w14:paraId="2F822CE6" w14:textId="3E548F94" w:rsidR="0059586E" w:rsidRPr="00740487" w:rsidRDefault="00675511" w:rsidP="00675511">
      <w:pPr>
        <w:pStyle w:val="ListParagraph"/>
        <w:spacing w:after="0" w:line="276" w:lineRule="auto"/>
        <w:jc w:val="both"/>
        <w:rPr>
          <w:rFonts w:ascii="Arial" w:hAnsi="Arial" w:cs="Arial"/>
          <w:lang w:val="en-US"/>
        </w:rPr>
      </w:pPr>
      <w:r>
        <w:rPr>
          <w:rFonts w:ascii="Arial" w:hAnsi="Arial" w:cs="Arial"/>
          <w:lang w:val="en-US"/>
        </w:rPr>
        <w:t>2.</w:t>
      </w:r>
      <w:r w:rsidR="0059586E">
        <w:rPr>
          <w:rFonts w:ascii="Arial" w:hAnsi="Arial" w:cs="Arial"/>
          <w:lang w:val="en-US"/>
        </w:rPr>
        <w:t>Briefly explain the m</w:t>
      </w:r>
      <w:r w:rsidR="0059586E" w:rsidRPr="0059586E">
        <w:rPr>
          <w:rFonts w:ascii="Arial" w:hAnsi="Arial" w:cs="Arial"/>
          <w:lang w:val="en-US"/>
        </w:rPr>
        <w:t>echanism</w:t>
      </w:r>
      <w:r w:rsidR="0059586E">
        <w:rPr>
          <w:rFonts w:ascii="Arial" w:hAnsi="Arial" w:cs="Arial"/>
          <w:lang w:val="en-US"/>
        </w:rPr>
        <w:t xml:space="preserve"> of s</w:t>
      </w:r>
      <w:r w:rsidR="0059586E" w:rsidRPr="0059586E">
        <w:rPr>
          <w:rFonts w:ascii="Arial" w:hAnsi="Arial" w:cs="Arial"/>
          <w:lang w:val="en-US"/>
        </w:rPr>
        <w:t>ecuritization</w:t>
      </w:r>
      <w:r w:rsidR="0059586E">
        <w:rPr>
          <w:rFonts w:ascii="Arial" w:hAnsi="Arial" w:cs="Arial"/>
          <w:lang w:val="en-US"/>
        </w:rPr>
        <w:t xml:space="preserve"> of debt [10]</w:t>
      </w:r>
    </w:p>
    <w:p w14:paraId="7CB73CFC" w14:textId="77777777" w:rsidR="00F01414" w:rsidRPr="00F01414" w:rsidRDefault="00F01414" w:rsidP="00F01414">
      <w:pPr>
        <w:spacing w:after="0" w:line="360" w:lineRule="auto"/>
        <w:rPr>
          <w:rFonts w:ascii="Arial" w:hAnsi="Arial" w:cs="Arial"/>
          <w:lang w:val="en-US"/>
        </w:rPr>
      </w:pPr>
    </w:p>
    <w:p w14:paraId="184BF7D1" w14:textId="77777777" w:rsidR="00E63BDC" w:rsidRDefault="00E63BDC"/>
    <w:sectPr w:rsidR="00E63BDC" w:rsidSect="00E63BD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AB3AD" w14:textId="77777777" w:rsidR="007F7929" w:rsidRDefault="007F7929" w:rsidP="00CF60D4">
      <w:pPr>
        <w:spacing w:after="0" w:line="240" w:lineRule="auto"/>
      </w:pPr>
      <w:r>
        <w:separator/>
      </w:r>
    </w:p>
  </w:endnote>
  <w:endnote w:type="continuationSeparator" w:id="0">
    <w:p w14:paraId="2C181D9F" w14:textId="77777777" w:rsidR="007F7929" w:rsidRDefault="007F7929" w:rsidP="00CF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518540"/>
      <w:docPartObj>
        <w:docPartGallery w:val="Page Numbers (Bottom of Page)"/>
        <w:docPartUnique/>
      </w:docPartObj>
    </w:sdtPr>
    <w:sdtEndPr/>
    <w:sdtContent>
      <w:sdt>
        <w:sdtPr>
          <w:id w:val="-1769616900"/>
          <w:docPartObj>
            <w:docPartGallery w:val="Page Numbers (Top of Page)"/>
            <w:docPartUnique/>
          </w:docPartObj>
        </w:sdtPr>
        <w:sdtEndPr/>
        <w:sdtContent>
          <w:p w14:paraId="753BDC26" w14:textId="19397E45" w:rsidR="00CF60D4" w:rsidRDefault="00CF60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B6D3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6D35">
              <w:rPr>
                <w:b/>
                <w:bCs/>
                <w:noProof/>
              </w:rPr>
              <w:t>2</w:t>
            </w:r>
            <w:r>
              <w:rPr>
                <w:b/>
                <w:bCs/>
                <w:sz w:val="24"/>
                <w:szCs w:val="24"/>
              </w:rPr>
              <w:fldChar w:fldCharType="end"/>
            </w:r>
          </w:p>
        </w:sdtContent>
      </w:sdt>
    </w:sdtContent>
  </w:sdt>
  <w:p w14:paraId="560672AE" w14:textId="77777777" w:rsidR="00CF60D4" w:rsidRDefault="00CF6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F8BFE" w14:textId="77777777" w:rsidR="007F7929" w:rsidRDefault="007F7929" w:rsidP="00CF60D4">
      <w:pPr>
        <w:spacing w:after="0" w:line="240" w:lineRule="auto"/>
      </w:pPr>
      <w:r>
        <w:separator/>
      </w:r>
    </w:p>
  </w:footnote>
  <w:footnote w:type="continuationSeparator" w:id="0">
    <w:p w14:paraId="6EB1CDA7" w14:textId="77777777" w:rsidR="007F7929" w:rsidRDefault="007F7929" w:rsidP="00CF60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5361"/>
    <w:multiLevelType w:val="hybridMultilevel"/>
    <w:tmpl w:val="5F7C7AF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7B60E3"/>
    <w:multiLevelType w:val="hybridMultilevel"/>
    <w:tmpl w:val="F97CB2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522E62DE"/>
    <w:multiLevelType w:val="hybridMultilevel"/>
    <w:tmpl w:val="F97CB2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76270863"/>
    <w:multiLevelType w:val="hybridMultilevel"/>
    <w:tmpl w:val="D4A0A59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DC"/>
    <w:rsid w:val="000F102A"/>
    <w:rsid w:val="001B7237"/>
    <w:rsid w:val="003C28FA"/>
    <w:rsid w:val="0059586E"/>
    <w:rsid w:val="00675511"/>
    <w:rsid w:val="006D4BA7"/>
    <w:rsid w:val="00740487"/>
    <w:rsid w:val="007866DB"/>
    <w:rsid w:val="007B6D35"/>
    <w:rsid w:val="007F7929"/>
    <w:rsid w:val="008573FA"/>
    <w:rsid w:val="008E3216"/>
    <w:rsid w:val="00CF1677"/>
    <w:rsid w:val="00CF60D4"/>
    <w:rsid w:val="00D06B4F"/>
    <w:rsid w:val="00D86956"/>
    <w:rsid w:val="00E63BDC"/>
    <w:rsid w:val="00F01414"/>
    <w:rsid w:val="00F30103"/>
    <w:rsid w:val="00F93436"/>
    <w:rsid w:val="00FD33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4AA8"/>
  <w15:chartTrackingRefBased/>
  <w15:docId w15:val="{63052C5D-18BC-40DC-9B25-62D5103E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BDC"/>
    <w:pPr>
      <w:ind w:left="720"/>
      <w:contextualSpacing/>
    </w:pPr>
  </w:style>
  <w:style w:type="paragraph" w:styleId="NormalWeb">
    <w:name w:val="Normal (Web)"/>
    <w:basedOn w:val="Normal"/>
    <w:uiPriority w:val="99"/>
    <w:semiHidden/>
    <w:unhideWhenUsed/>
    <w:rsid w:val="00E63B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F6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0D4"/>
  </w:style>
  <w:style w:type="paragraph" w:styleId="Footer">
    <w:name w:val="footer"/>
    <w:basedOn w:val="Normal"/>
    <w:link w:val="FooterChar"/>
    <w:uiPriority w:val="99"/>
    <w:unhideWhenUsed/>
    <w:rsid w:val="00CF6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umair mohammed</dc:creator>
  <cp:keywords/>
  <dc:description/>
  <cp:lastModifiedBy>LIBDL-13</cp:lastModifiedBy>
  <cp:revision>16</cp:revision>
  <dcterms:created xsi:type="dcterms:W3CDTF">2022-01-05T10:48:00Z</dcterms:created>
  <dcterms:modified xsi:type="dcterms:W3CDTF">2022-07-04T04:55:00Z</dcterms:modified>
</cp:coreProperties>
</file>