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1E77C" w14:textId="762D1F36" w:rsidR="001077B7" w:rsidRDefault="001077B7" w:rsidP="00D959DD">
      <w:pPr>
        <w:spacing w:line="360" w:lineRule="auto"/>
        <w:rPr>
          <w:rFonts w:ascii="Arial" w:eastAsia="Arial" w:hAnsi="Arial" w:cs="Arial"/>
          <w:b/>
        </w:rPr>
      </w:pPr>
      <w:r w:rsidRPr="00470CD5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034B096" wp14:editId="4E6A77BB">
                <wp:simplePos x="0" y="0"/>
                <wp:positionH relativeFrom="column">
                  <wp:posOffset>3933825</wp:posOffset>
                </wp:positionH>
                <wp:positionV relativeFrom="paragraph">
                  <wp:posOffset>175260</wp:posOffset>
                </wp:positionV>
                <wp:extent cx="2489200" cy="7658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2F043B" w14:textId="77777777" w:rsidR="00D959DD" w:rsidRDefault="00D959DD" w:rsidP="00D959D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Register Number:</w:t>
                            </w:r>
                          </w:p>
                          <w:p w14:paraId="6CC2371A" w14:textId="54DEA5CE" w:rsidR="00D959DD" w:rsidRDefault="00D959DD" w:rsidP="00D959D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</w:t>
                            </w:r>
                            <w:r w:rsidR="001112EE">
                              <w:rPr>
                                <w:color w:val="000000"/>
                              </w:rPr>
                              <w:t>28-02-2022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4B096" id="Rectangle 5" o:spid="_x0000_s1026" style="position:absolute;margin-left:309.75pt;margin-top:13.8pt;width:196pt;height:6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E2F043B" w14:textId="77777777" w:rsidR="00D959DD" w:rsidRDefault="00D959DD" w:rsidP="00D959DD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Register Number:</w:t>
                      </w:r>
                    </w:p>
                    <w:p w14:paraId="6CC2371A" w14:textId="54DEA5CE" w:rsidR="00D959DD" w:rsidRDefault="00D959DD" w:rsidP="00D959DD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DATE:</w:t>
                      </w:r>
                      <w:r w:rsidR="001112EE">
                        <w:rPr>
                          <w:color w:val="000000"/>
                        </w:rPr>
                        <w:t>28-02-2022</w:t>
                      </w:r>
                    </w:p>
                  </w:txbxContent>
                </v:textbox>
              </v:rect>
            </w:pict>
          </mc:Fallback>
        </mc:AlternateContent>
      </w:r>
      <w:r w:rsidR="00D959DD" w:rsidRPr="00470CD5">
        <w:rPr>
          <w:rFonts w:ascii="Arial" w:eastAsia="Arial" w:hAnsi="Arial" w:cs="Arial"/>
          <w:b/>
          <w:noProof/>
          <w:lang w:bidi="ar-SA"/>
        </w:rPr>
        <w:drawing>
          <wp:inline distT="0" distB="0" distL="0" distR="0" wp14:anchorId="1F9F8D34" wp14:editId="46F8C1EE">
            <wp:extent cx="762000" cy="781050"/>
            <wp:effectExtent l="0" t="0" r="0" b="0"/>
            <wp:docPr id="6" name="image2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048010" w14:textId="2574354A" w:rsidR="00D959DD" w:rsidRPr="00470CD5" w:rsidRDefault="00D959DD" w:rsidP="00D959DD">
      <w:pPr>
        <w:spacing w:line="360" w:lineRule="auto"/>
        <w:rPr>
          <w:rFonts w:ascii="Arial" w:eastAsia="Arial" w:hAnsi="Arial" w:cs="Arial"/>
          <w:b/>
        </w:rPr>
      </w:pPr>
    </w:p>
    <w:p w14:paraId="7EB1BAA1" w14:textId="77777777" w:rsidR="00D959DD" w:rsidRPr="00470CD5" w:rsidRDefault="00D959DD" w:rsidP="00D959DD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470CD5">
        <w:rPr>
          <w:rFonts w:ascii="Arial" w:eastAsia="Arial" w:hAnsi="Arial" w:cs="Arial"/>
          <w:b/>
        </w:rPr>
        <w:t>ST. JOSEPH’S COLLEGE (AUTONOMOUS), BANGALORE-27</w:t>
      </w:r>
    </w:p>
    <w:p w14:paraId="0351A402" w14:textId="7ED01B4B" w:rsidR="00D959DD" w:rsidRPr="00470CD5" w:rsidRDefault="00F82388" w:rsidP="00D959DD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BCom IFA</w:t>
      </w:r>
      <w:r w:rsidR="00D959DD" w:rsidRPr="00470CD5">
        <w:rPr>
          <w:rFonts w:ascii="Arial" w:eastAsia="Arial" w:hAnsi="Arial" w:cs="Arial"/>
          <w:b/>
        </w:rPr>
        <w:t xml:space="preserve"> – V SEMESTER</w:t>
      </w:r>
    </w:p>
    <w:p w14:paraId="6E0D9B65" w14:textId="3DBE4812" w:rsidR="00D959DD" w:rsidRDefault="00D959DD" w:rsidP="00D959DD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470CD5">
        <w:rPr>
          <w:rFonts w:ascii="Arial" w:eastAsia="Arial" w:hAnsi="Arial" w:cs="Arial"/>
          <w:b/>
        </w:rPr>
        <w:t xml:space="preserve">SEMESTER EXAMINATION: </w:t>
      </w:r>
      <w:r w:rsidR="008F7805">
        <w:rPr>
          <w:rFonts w:ascii="Arial" w:eastAsia="Arial" w:hAnsi="Arial" w:cs="Arial"/>
          <w:b/>
        </w:rPr>
        <w:t>OCTOBER</w:t>
      </w:r>
      <w:r w:rsidRPr="00470CD5">
        <w:rPr>
          <w:rFonts w:ascii="Arial" w:eastAsia="Arial" w:hAnsi="Arial" w:cs="Arial"/>
          <w:b/>
        </w:rPr>
        <w:t xml:space="preserve"> 2021</w:t>
      </w:r>
    </w:p>
    <w:p w14:paraId="47DFBD85" w14:textId="33AF1B6D" w:rsidR="008F7805" w:rsidRPr="008F7805" w:rsidRDefault="008F7805" w:rsidP="00D959DD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8F7805">
        <w:rPr>
          <w:rFonts w:ascii="Arial" w:eastAsia="Arial" w:hAnsi="Arial" w:cs="Arial"/>
          <w:b/>
        </w:rPr>
        <w:t xml:space="preserve">(Examination conducted in </w:t>
      </w:r>
      <w:r w:rsidR="001112EE">
        <w:rPr>
          <w:rFonts w:ascii="Arial" w:eastAsia="Arial" w:hAnsi="Arial" w:cs="Arial"/>
          <w:b/>
        </w:rPr>
        <w:t>Febr</w:t>
      </w:r>
      <w:r w:rsidRPr="008F7805">
        <w:rPr>
          <w:rFonts w:ascii="Arial" w:eastAsia="Arial" w:hAnsi="Arial" w:cs="Arial"/>
          <w:b/>
        </w:rPr>
        <w:t>uary-March 2022)</w:t>
      </w:r>
    </w:p>
    <w:p w14:paraId="1B0F5427" w14:textId="197D9F92" w:rsidR="00D959DD" w:rsidRPr="00470CD5" w:rsidRDefault="00D959DD" w:rsidP="00D959DD">
      <w:pPr>
        <w:spacing w:line="360" w:lineRule="auto"/>
        <w:jc w:val="center"/>
        <w:rPr>
          <w:rFonts w:ascii="Arial" w:eastAsia="Arial" w:hAnsi="Arial" w:cs="Arial"/>
          <w:b/>
          <w:u w:val="single"/>
        </w:rPr>
      </w:pPr>
      <w:bookmarkStart w:id="0" w:name="_GoBack"/>
      <w:r w:rsidRPr="00470CD5">
        <w:rPr>
          <w:rFonts w:ascii="Arial" w:eastAsia="Arial" w:hAnsi="Arial" w:cs="Arial"/>
          <w:b/>
          <w:u w:val="single"/>
        </w:rPr>
        <w:t>BC</w:t>
      </w:r>
      <w:r w:rsidR="001077B7">
        <w:rPr>
          <w:rFonts w:ascii="Arial" w:eastAsia="Arial" w:hAnsi="Arial" w:cs="Arial"/>
          <w:b/>
          <w:u w:val="single"/>
        </w:rPr>
        <w:t xml:space="preserve"> </w:t>
      </w:r>
      <w:r w:rsidRPr="00470CD5">
        <w:rPr>
          <w:rFonts w:ascii="Arial" w:eastAsia="Arial" w:hAnsi="Arial" w:cs="Arial"/>
          <w:b/>
          <w:u w:val="single"/>
        </w:rPr>
        <w:t>IFA</w:t>
      </w:r>
      <w:r w:rsidR="001077B7">
        <w:rPr>
          <w:rFonts w:ascii="Arial" w:eastAsia="Arial" w:hAnsi="Arial" w:cs="Arial"/>
          <w:b/>
          <w:u w:val="single"/>
        </w:rPr>
        <w:t xml:space="preserve"> </w:t>
      </w:r>
      <w:r w:rsidRPr="00470CD5">
        <w:rPr>
          <w:rFonts w:ascii="Arial" w:eastAsia="Arial" w:hAnsi="Arial" w:cs="Arial"/>
          <w:b/>
          <w:u w:val="single"/>
        </w:rPr>
        <w:t>-</w:t>
      </w:r>
      <w:r w:rsidR="001077B7">
        <w:rPr>
          <w:rFonts w:ascii="Arial" w:eastAsia="Arial" w:hAnsi="Arial" w:cs="Arial"/>
          <w:b/>
          <w:u w:val="single"/>
        </w:rPr>
        <w:t xml:space="preserve"> </w:t>
      </w:r>
      <w:r w:rsidRPr="00470CD5">
        <w:rPr>
          <w:rFonts w:ascii="Arial" w:eastAsia="Arial" w:hAnsi="Arial" w:cs="Arial"/>
          <w:b/>
          <w:u w:val="single"/>
        </w:rPr>
        <w:t>5119:</w:t>
      </w:r>
      <w:r w:rsidR="001077B7">
        <w:rPr>
          <w:rFonts w:ascii="Arial" w:eastAsia="Arial" w:hAnsi="Arial" w:cs="Arial"/>
          <w:b/>
          <w:u w:val="single"/>
        </w:rPr>
        <w:t xml:space="preserve"> Corporate Reporting </w:t>
      </w:r>
      <w:proofErr w:type="gramStart"/>
      <w:r w:rsidR="001077B7">
        <w:rPr>
          <w:rFonts w:ascii="Arial" w:eastAsia="Arial" w:hAnsi="Arial" w:cs="Arial"/>
          <w:b/>
          <w:u w:val="single"/>
        </w:rPr>
        <w:t>I</w:t>
      </w:r>
      <w:bookmarkEnd w:id="0"/>
      <w:proofErr w:type="gramEnd"/>
    </w:p>
    <w:p w14:paraId="6F292C3F" w14:textId="77777777" w:rsidR="00D959DD" w:rsidRPr="00470CD5" w:rsidRDefault="00D959DD" w:rsidP="00D959DD">
      <w:pPr>
        <w:pStyle w:val="Title"/>
        <w:spacing w:line="360" w:lineRule="auto"/>
        <w:rPr>
          <w:rFonts w:ascii="Arial" w:eastAsia="Arial" w:hAnsi="Arial" w:cs="Arial"/>
          <w:sz w:val="22"/>
          <w:szCs w:val="22"/>
        </w:rPr>
      </w:pPr>
      <w:r w:rsidRPr="00470CD5">
        <w:rPr>
          <w:rFonts w:ascii="Arial" w:eastAsia="Arial" w:hAnsi="Arial" w:cs="Arial"/>
          <w:sz w:val="22"/>
          <w:szCs w:val="22"/>
        </w:rPr>
        <w:t xml:space="preserve">Time- 2 ½ </w:t>
      </w:r>
      <w:proofErr w:type="spellStart"/>
      <w:r w:rsidRPr="00470CD5">
        <w:rPr>
          <w:rFonts w:ascii="Arial" w:eastAsia="Arial" w:hAnsi="Arial" w:cs="Arial"/>
          <w:sz w:val="22"/>
          <w:szCs w:val="22"/>
        </w:rPr>
        <w:t>hrs</w:t>
      </w:r>
      <w:proofErr w:type="spellEnd"/>
      <w:r w:rsidRPr="00470CD5">
        <w:rPr>
          <w:rFonts w:ascii="Arial" w:eastAsia="Arial" w:hAnsi="Arial" w:cs="Arial"/>
          <w:sz w:val="22"/>
          <w:szCs w:val="22"/>
        </w:rPr>
        <w:tab/>
      </w:r>
      <w:r w:rsidRPr="00470CD5">
        <w:rPr>
          <w:rFonts w:ascii="Arial" w:eastAsia="Arial" w:hAnsi="Arial" w:cs="Arial"/>
          <w:sz w:val="22"/>
          <w:szCs w:val="22"/>
        </w:rPr>
        <w:tab/>
      </w:r>
      <w:r w:rsidRPr="00470CD5">
        <w:rPr>
          <w:rFonts w:ascii="Arial" w:eastAsia="Arial" w:hAnsi="Arial" w:cs="Arial"/>
          <w:sz w:val="22"/>
          <w:szCs w:val="22"/>
        </w:rPr>
        <w:tab/>
      </w:r>
      <w:r w:rsidRPr="00470CD5">
        <w:rPr>
          <w:rFonts w:ascii="Arial" w:eastAsia="Arial" w:hAnsi="Arial" w:cs="Arial"/>
          <w:sz w:val="22"/>
          <w:szCs w:val="22"/>
        </w:rPr>
        <w:tab/>
      </w:r>
      <w:r w:rsidRPr="00470CD5">
        <w:rPr>
          <w:rFonts w:ascii="Arial" w:eastAsia="Arial" w:hAnsi="Arial" w:cs="Arial"/>
          <w:sz w:val="22"/>
          <w:szCs w:val="22"/>
        </w:rPr>
        <w:tab/>
        <w:t>Max Marks-70</w:t>
      </w:r>
    </w:p>
    <w:p w14:paraId="4645EEB1" w14:textId="30FA4288" w:rsidR="00D959DD" w:rsidRPr="00470CD5" w:rsidRDefault="00D959DD" w:rsidP="00D959DD">
      <w:pPr>
        <w:spacing w:line="360" w:lineRule="auto"/>
        <w:ind w:left="360" w:hanging="360"/>
        <w:jc w:val="center"/>
        <w:rPr>
          <w:rFonts w:ascii="Arial" w:hAnsi="Arial" w:cs="Arial"/>
          <w:u w:val="single"/>
        </w:rPr>
      </w:pPr>
      <w:r w:rsidRPr="00470CD5">
        <w:rPr>
          <w:rFonts w:ascii="Arial" w:eastAsia="Arial" w:hAnsi="Arial" w:cs="Arial"/>
          <w:b/>
        </w:rPr>
        <w:t xml:space="preserve">This paper contains </w:t>
      </w:r>
      <w:r w:rsidR="00B33A50">
        <w:rPr>
          <w:rFonts w:ascii="Arial" w:eastAsia="Arial" w:hAnsi="Arial" w:cs="Arial"/>
          <w:b/>
          <w:color w:val="000000"/>
          <w:u w:val="single"/>
        </w:rPr>
        <w:t>3</w:t>
      </w:r>
      <w:r w:rsidRPr="00470CD5">
        <w:rPr>
          <w:rFonts w:ascii="Arial" w:eastAsia="Arial" w:hAnsi="Arial" w:cs="Arial"/>
          <w:b/>
          <w:color w:val="000000"/>
        </w:rPr>
        <w:t xml:space="preserve"> </w:t>
      </w:r>
      <w:r w:rsidRPr="00470CD5">
        <w:rPr>
          <w:rFonts w:ascii="Arial" w:eastAsia="Arial" w:hAnsi="Arial" w:cs="Arial"/>
          <w:b/>
        </w:rPr>
        <w:t>printed pages and four parts</w:t>
      </w:r>
    </w:p>
    <w:p w14:paraId="03E2CDAD" w14:textId="77777777" w:rsidR="00D959DD" w:rsidRPr="00470CD5" w:rsidRDefault="00D959DD" w:rsidP="00D959DD">
      <w:pPr>
        <w:spacing w:line="360" w:lineRule="auto"/>
        <w:jc w:val="center"/>
        <w:rPr>
          <w:rFonts w:ascii="Arial" w:eastAsia="Arial" w:hAnsi="Arial" w:cs="Arial"/>
          <w:b/>
        </w:rPr>
      </w:pPr>
      <w:r w:rsidRPr="00470CD5">
        <w:rPr>
          <w:rFonts w:ascii="Arial" w:eastAsia="Arial" w:hAnsi="Arial" w:cs="Arial"/>
          <w:b/>
        </w:rPr>
        <w:t xml:space="preserve">Section A </w:t>
      </w:r>
    </w:p>
    <w:p w14:paraId="2EF9235D" w14:textId="77777777" w:rsidR="00D959DD" w:rsidRPr="00470CD5" w:rsidRDefault="00D959DD" w:rsidP="00D959DD">
      <w:pPr>
        <w:spacing w:line="360" w:lineRule="auto"/>
        <w:rPr>
          <w:rFonts w:ascii="Arial" w:eastAsia="Arial" w:hAnsi="Arial" w:cs="Arial"/>
          <w:b/>
        </w:rPr>
      </w:pPr>
      <w:r w:rsidRPr="00470CD5">
        <w:rPr>
          <w:rFonts w:ascii="Arial" w:eastAsia="Arial" w:hAnsi="Arial" w:cs="Arial"/>
          <w:b/>
        </w:rPr>
        <w:t xml:space="preserve">I. </w:t>
      </w:r>
      <w:r w:rsidRPr="00470CD5">
        <w:rPr>
          <w:rFonts w:ascii="Arial" w:eastAsia="Arial" w:hAnsi="Arial" w:cs="Arial"/>
        </w:rPr>
        <w:t xml:space="preserve">Answer </w:t>
      </w:r>
      <w:r w:rsidRPr="00470CD5">
        <w:rPr>
          <w:rFonts w:ascii="Arial" w:eastAsia="Arial" w:hAnsi="Arial" w:cs="Arial"/>
          <w:b/>
          <w:i/>
        </w:rPr>
        <w:t xml:space="preserve">any five </w:t>
      </w:r>
      <w:r w:rsidRPr="00470CD5">
        <w:rPr>
          <w:rFonts w:ascii="Arial" w:eastAsia="Arial" w:hAnsi="Arial" w:cs="Arial"/>
        </w:rPr>
        <w:t xml:space="preserve">of the following </w:t>
      </w:r>
      <w:r w:rsidRPr="00470CD5">
        <w:rPr>
          <w:rFonts w:ascii="Arial" w:eastAsia="Arial" w:hAnsi="Arial" w:cs="Arial"/>
        </w:rPr>
        <w:tab/>
      </w:r>
      <w:r w:rsidRPr="00470CD5">
        <w:rPr>
          <w:rFonts w:ascii="Arial" w:eastAsia="Arial" w:hAnsi="Arial" w:cs="Arial"/>
        </w:rPr>
        <w:tab/>
      </w:r>
      <w:r w:rsidRPr="00470CD5">
        <w:rPr>
          <w:rFonts w:ascii="Arial" w:eastAsia="Arial" w:hAnsi="Arial" w:cs="Arial"/>
        </w:rPr>
        <w:tab/>
        <w:t xml:space="preserve">                  (</w:t>
      </w:r>
      <w:r w:rsidRPr="00470CD5">
        <w:rPr>
          <w:rFonts w:ascii="Arial" w:eastAsia="Arial" w:hAnsi="Arial" w:cs="Arial"/>
          <w:b/>
        </w:rPr>
        <w:t>2 x 5 = 10 marks)</w:t>
      </w:r>
    </w:p>
    <w:p w14:paraId="26CE857F" w14:textId="0DC0BD5C" w:rsidR="00D959DD" w:rsidRPr="00470CD5" w:rsidRDefault="00D959DD" w:rsidP="00D95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 w:rsidRPr="00470CD5">
        <w:rPr>
          <w:rFonts w:ascii="Arial" w:eastAsia="Arial" w:hAnsi="Arial" w:cs="Arial"/>
        </w:rPr>
        <w:t>Mention any 2 criticism</w:t>
      </w:r>
      <w:r w:rsidR="008F7805">
        <w:rPr>
          <w:rFonts w:ascii="Arial" w:eastAsia="Arial" w:hAnsi="Arial" w:cs="Arial"/>
        </w:rPr>
        <w:t>s</w:t>
      </w:r>
      <w:r w:rsidRPr="00470CD5">
        <w:rPr>
          <w:rFonts w:ascii="Arial" w:eastAsia="Arial" w:hAnsi="Arial" w:cs="Arial"/>
        </w:rPr>
        <w:t xml:space="preserve"> of the 2010 conceptual framework.</w:t>
      </w:r>
    </w:p>
    <w:p w14:paraId="47ED6BCC" w14:textId="091967C5" w:rsidR="00D959DD" w:rsidRPr="00470CD5" w:rsidRDefault="00D959DD" w:rsidP="00D95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 w:rsidRPr="00470CD5">
        <w:rPr>
          <w:rFonts w:ascii="Arial" w:eastAsia="Arial" w:hAnsi="Arial" w:cs="Arial"/>
        </w:rPr>
        <w:t>Mr. A has 35% stake in Entity X and has significant influence in Entity Y. Comment with a justification, whether entities X and Y are related?</w:t>
      </w:r>
    </w:p>
    <w:p w14:paraId="08F4AD85" w14:textId="76A18088" w:rsidR="00D959DD" w:rsidRPr="00470CD5" w:rsidRDefault="00D959DD" w:rsidP="00D95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 w:rsidRPr="00470CD5">
        <w:rPr>
          <w:rFonts w:ascii="Arial" w:eastAsia="Arial" w:hAnsi="Arial" w:cs="Arial"/>
        </w:rPr>
        <w:t xml:space="preserve">State the factors to be considered while determining transaction price. </w:t>
      </w:r>
    </w:p>
    <w:p w14:paraId="6E51EB37" w14:textId="5391E6C8" w:rsidR="00D959DD" w:rsidRPr="00470CD5" w:rsidRDefault="00D959DD" w:rsidP="00D95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 w:rsidRPr="00470CD5">
        <w:rPr>
          <w:rFonts w:ascii="Arial" w:eastAsia="Arial" w:hAnsi="Arial" w:cs="Arial"/>
        </w:rPr>
        <w:t xml:space="preserve">What is meant by grant date? </w:t>
      </w:r>
    </w:p>
    <w:p w14:paraId="43E068D9" w14:textId="4BAB92E4" w:rsidR="00D959DD" w:rsidRPr="00470CD5" w:rsidRDefault="00D959DD" w:rsidP="00D95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 w:rsidRPr="00470CD5">
        <w:rPr>
          <w:rFonts w:ascii="Arial" w:eastAsia="Arial" w:hAnsi="Arial" w:cs="Arial"/>
        </w:rPr>
        <w:t>State any two reasons for increase in Gross profit margin.</w:t>
      </w:r>
      <w:r w:rsidRPr="00470CD5">
        <w:rPr>
          <w:rFonts w:ascii="Arial" w:eastAsia="Arial" w:hAnsi="Arial" w:cs="Arial"/>
          <w:b/>
        </w:rPr>
        <w:t xml:space="preserve"> </w:t>
      </w:r>
    </w:p>
    <w:p w14:paraId="1E48ACC3" w14:textId="4D4290FB" w:rsidR="00D959DD" w:rsidRDefault="00D959DD" w:rsidP="00D95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 w:rsidRPr="00470CD5">
        <w:rPr>
          <w:rFonts w:ascii="Arial" w:eastAsia="Arial" w:hAnsi="Arial" w:cs="Arial"/>
        </w:rPr>
        <w:t xml:space="preserve">List out the standards that are omitted from SMEs standard. </w:t>
      </w:r>
    </w:p>
    <w:p w14:paraId="456D7525" w14:textId="77777777" w:rsidR="001077B7" w:rsidRPr="00470CD5" w:rsidRDefault="001077B7" w:rsidP="001077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</w:rPr>
      </w:pPr>
    </w:p>
    <w:p w14:paraId="6168B8F1" w14:textId="77777777" w:rsidR="00D959DD" w:rsidRPr="00470CD5" w:rsidRDefault="00D959DD" w:rsidP="00D959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Arial" w:eastAsia="Arial" w:hAnsi="Arial" w:cs="Arial"/>
          <w:b/>
          <w:color w:val="000000"/>
        </w:rPr>
      </w:pPr>
      <w:r w:rsidRPr="00470CD5">
        <w:rPr>
          <w:rFonts w:ascii="Arial" w:eastAsia="Arial" w:hAnsi="Arial" w:cs="Arial"/>
          <w:b/>
          <w:color w:val="000000"/>
        </w:rPr>
        <w:t>Section B</w:t>
      </w:r>
    </w:p>
    <w:p w14:paraId="098BD683" w14:textId="77777777" w:rsidR="00D959DD" w:rsidRPr="00470CD5" w:rsidRDefault="00D959DD" w:rsidP="00D959DD">
      <w:pPr>
        <w:spacing w:line="360" w:lineRule="auto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 w:rsidRPr="00470CD5">
        <w:rPr>
          <w:rFonts w:ascii="Arial" w:eastAsia="Arial" w:hAnsi="Arial" w:cs="Arial"/>
          <w:b/>
        </w:rPr>
        <w:t xml:space="preserve">II. </w:t>
      </w:r>
      <w:r w:rsidRPr="00470CD5">
        <w:rPr>
          <w:rFonts w:ascii="Arial" w:eastAsia="Arial" w:hAnsi="Arial" w:cs="Arial"/>
        </w:rPr>
        <w:t xml:space="preserve">Answer </w:t>
      </w:r>
      <w:r w:rsidRPr="00470CD5">
        <w:rPr>
          <w:rFonts w:ascii="Arial" w:eastAsia="Arial" w:hAnsi="Arial" w:cs="Arial"/>
          <w:b/>
          <w:i/>
        </w:rPr>
        <w:t xml:space="preserve">any three </w:t>
      </w:r>
      <w:r w:rsidRPr="00470CD5">
        <w:rPr>
          <w:rFonts w:ascii="Arial" w:eastAsia="Arial" w:hAnsi="Arial" w:cs="Arial"/>
        </w:rPr>
        <w:t xml:space="preserve">of the following </w:t>
      </w:r>
      <w:r w:rsidRPr="00470CD5">
        <w:rPr>
          <w:rFonts w:ascii="Arial" w:eastAsia="Arial" w:hAnsi="Arial" w:cs="Arial"/>
        </w:rPr>
        <w:tab/>
      </w:r>
      <w:r w:rsidRPr="00470CD5">
        <w:rPr>
          <w:rFonts w:ascii="Arial" w:eastAsia="Arial" w:hAnsi="Arial" w:cs="Arial"/>
        </w:rPr>
        <w:tab/>
      </w:r>
      <w:r w:rsidRPr="00470CD5">
        <w:rPr>
          <w:rFonts w:ascii="Arial" w:eastAsia="Arial" w:hAnsi="Arial" w:cs="Arial"/>
        </w:rPr>
        <w:tab/>
        <w:t xml:space="preserve">                  (</w:t>
      </w:r>
      <w:r w:rsidRPr="00470CD5">
        <w:rPr>
          <w:rFonts w:ascii="Arial" w:eastAsia="Arial" w:hAnsi="Arial" w:cs="Arial"/>
          <w:b/>
        </w:rPr>
        <w:t>5 x 3 = 15 marks)</w:t>
      </w:r>
    </w:p>
    <w:p w14:paraId="180338B3" w14:textId="671EEA84" w:rsidR="00D959DD" w:rsidRPr="00470CD5" w:rsidRDefault="00D959DD" w:rsidP="00D95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470CD5">
        <w:rPr>
          <w:rFonts w:ascii="Arial" w:eastAsia="Arial" w:hAnsi="Arial" w:cs="Arial"/>
        </w:rPr>
        <w:t xml:space="preserve">Explain the advantages and disadvantages of the SME standard. </w:t>
      </w:r>
    </w:p>
    <w:p w14:paraId="66E75B77" w14:textId="7947FF98" w:rsidR="00D959DD" w:rsidRPr="00470CD5" w:rsidRDefault="00D959DD" w:rsidP="00D95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470CD5">
        <w:rPr>
          <w:rFonts w:ascii="Arial" w:eastAsia="Arial" w:hAnsi="Arial" w:cs="Arial"/>
        </w:rPr>
        <w:t xml:space="preserve">Explain the current issue faced in accounting for crypto currency. </w:t>
      </w:r>
    </w:p>
    <w:p w14:paraId="026925B0" w14:textId="77777777" w:rsidR="00D959DD" w:rsidRPr="00470CD5" w:rsidRDefault="00D959DD" w:rsidP="00D95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470CD5">
        <w:rPr>
          <w:rFonts w:ascii="Arial" w:eastAsia="Arial" w:hAnsi="Arial" w:cs="Arial"/>
        </w:rPr>
        <w:t xml:space="preserve">Emirates had profits after tax of $3 million in the year ended 31st December 20X7. On 1st January 20X7, Emirates had 2.4 million ordinary shares in issue. On 1st April 20X7 Emirates made a one for two rights issue at a price of $1.40 when the market price of Emirates shares was $2. </w:t>
      </w:r>
    </w:p>
    <w:p w14:paraId="16D78D2F" w14:textId="293AA83F" w:rsidR="00D959DD" w:rsidRPr="00470CD5" w:rsidRDefault="00D959DD" w:rsidP="00D959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b/>
        </w:rPr>
      </w:pPr>
      <w:r w:rsidRPr="00470CD5">
        <w:rPr>
          <w:rFonts w:ascii="Arial" w:eastAsia="Arial" w:hAnsi="Arial" w:cs="Arial"/>
        </w:rPr>
        <w:t>What is the basic earnings per share (to one decimal place in cents) for the year ended 31st December 20X7?  (</w:t>
      </w:r>
      <w:proofErr w:type="gramStart"/>
      <w:r w:rsidRPr="00470CD5">
        <w:rPr>
          <w:rFonts w:ascii="Arial" w:eastAsia="Arial" w:hAnsi="Arial" w:cs="Arial"/>
        </w:rPr>
        <w:t>show</w:t>
      </w:r>
      <w:proofErr w:type="gramEnd"/>
      <w:r w:rsidRPr="00470CD5">
        <w:rPr>
          <w:rFonts w:ascii="Arial" w:eastAsia="Arial" w:hAnsi="Arial" w:cs="Arial"/>
        </w:rPr>
        <w:t xml:space="preserve"> your workings in step wise computation) </w:t>
      </w:r>
    </w:p>
    <w:p w14:paraId="664FF90D" w14:textId="77777777" w:rsidR="00D959DD" w:rsidRPr="00470CD5" w:rsidRDefault="00D959DD" w:rsidP="00D959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b/>
        </w:rPr>
      </w:pPr>
    </w:p>
    <w:p w14:paraId="1B0CC4C9" w14:textId="5C38C722" w:rsidR="00D959DD" w:rsidRPr="00470CD5" w:rsidRDefault="00D959DD" w:rsidP="00D95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 w:rsidRPr="00470CD5">
        <w:rPr>
          <w:rFonts w:ascii="Arial" w:eastAsia="Arial" w:hAnsi="Arial" w:cs="Arial"/>
        </w:rPr>
        <w:t>An entity has a reporting date of 31 December. On 1st January 20X1 it grant</w:t>
      </w:r>
      <w:r w:rsidR="000859C4">
        <w:rPr>
          <w:rFonts w:ascii="Arial" w:eastAsia="Arial" w:hAnsi="Arial" w:cs="Arial"/>
        </w:rPr>
        <w:t>ed</w:t>
      </w:r>
      <w:r w:rsidRPr="00470CD5">
        <w:rPr>
          <w:rFonts w:ascii="Arial" w:eastAsia="Arial" w:hAnsi="Arial" w:cs="Arial"/>
        </w:rPr>
        <w:t xml:space="preserve"> 200 share options to each of its 1000 employees. Each grant is conditional upon the </w:t>
      </w:r>
      <w:r w:rsidRPr="00470CD5">
        <w:rPr>
          <w:rFonts w:ascii="Arial" w:eastAsia="Arial" w:hAnsi="Arial" w:cs="Arial"/>
        </w:rPr>
        <w:lastRenderedPageBreak/>
        <w:t xml:space="preserve">employee working for the entity for 3 complete years. At the grant date the fair value of each share option is $30. </w:t>
      </w:r>
    </w:p>
    <w:p w14:paraId="53E61F98" w14:textId="77777777" w:rsidR="00D959DD" w:rsidRPr="00470CD5" w:rsidRDefault="00D959DD" w:rsidP="00D959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</w:rPr>
      </w:pPr>
      <w:r w:rsidRPr="00470CD5">
        <w:rPr>
          <w:rFonts w:ascii="Arial" w:eastAsia="Arial" w:hAnsi="Arial" w:cs="Arial"/>
        </w:rPr>
        <w:t>During 20X1, 40 employees leave and the entity estimates that a total of 20% of the 1000 employees will leave during the three year period.</w:t>
      </w:r>
    </w:p>
    <w:p w14:paraId="3E56FC7C" w14:textId="77777777" w:rsidR="00D959DD" w:rsidRPr="00470CD5" w:rsidRDefault="00D959DD" w:rsidP="00D959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</w:rPr>
      </w:pPr>
      <w:r w:rsidRPr="00470CD5">
        <w:rPr>
          <w:rFonts w:ascii="Arial" w:eastAsia="Arial" w:hAnsi="Arial" w:cs="Arial"/>
        </w:rPr>
        <w:t>During 20X2, a further 40 employees leave the entity now estimates that only 15% of the original 1000 employees will leave during the three year period.</w:t>
      </w:r>
    </w:p>
    <w:p w14:paraId="2A20FAF6" w14:textId="7F4795D2" w:rsidR="00D959DD" w:rsidRPr="00470CD5" w:rsidRDefault="00D959DD" w:rsidP="00D959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</w:rPr>
      </w:pPr>
      <w:r w:rsidRPr="00470CD5">
        <w:rPr>
          <w:rFonts w:ascii="Arial" w:eastAsia="Arial" w:hAnsi="Arial" w:cs="Arial"/>
        </w:rPr>
        <w:t xml:space="preserve">During 20X3, a further 20 employees leave. Calculate the remuneration expense and the equity that will be recognised in each of the three years of the share-based payment scheme. </w:t>
      </w:r>
    </w:p>
    <w:p w14:paraId="13A07BF4" w14:textId="77777777" w:rsidR="00D959DD" w:rsidRPr="00470CD5" w:rsidRDefault="00D959DD" w:rsidP="00D959DD">
      <w:pPr>
        <w:spacing w:line="360" w:lineRule="auto"/>
        <w:jc w:val="center"/>
        <w:rPr>
          <w:rFonts w:ascii="Arial" w:eastAsia="Arial" w:hAnsi="Arial" w:cs="Arial"/>
          <w:b/>
        </w:rPr>
      </w:pPr>
      <w:r w:rsidRPr="00470CD5">
        <w:rPr>
          <w:rFonts w:ascii="Arial" w:eastAsia="Arial" w:hAnsi="Arial" w:cs="Arial"/>
          <w:b/>
        </w:rPr>
        <w:t xml:space="preserve">Section C </w:t>
      </w:r>
    </w:p>
    <w:p w14:paraId="0EBFFAFD" w14:textId="77777777" w:rsidR="00D959DD" w:rsidRPr="00470CD5" w:rsidRDefault="00D959DD" w:rsidP="00D959DD">
      <w:pPr>
        <w:spacing w:line="360" w:lineRule="auto"/>
        <w:rPr>
          <w:rFonts w:ascii="Arial" w:eastAsia="Arial" w:hAnsi="Arial" w:cs="Arial"/>
          <w:b/>
        </w:rPr>
      </w:pPr>
      <w:r w:rsidRPr="00470CD5">
        <w:rPr>
          <w:rFonts w:ascii="Arial" w:eastAsia="Arial" w:hAnsi="Arial" w:cs="Arial"/>
          <w:b/>
        </w:rPr>
        <w:t xml:space="preserve">III. </w:t>
      </w:r>
      <w:r w:rsidRPr="00470CD5">
        <w:rPr>
          <w:rFonts w:ascii="Arial" w:eastAsia="Arial" w:hAnsi="Arial" w:cs="Arial"/>
        </w:rPr>
        <w:t xml:space="preserve">Answer </w:t>
      </w:r>
      <w:r w:rsidRPr="00470CD5">
        <w:rPr>
          <w:rFonts w:ascii="Arial" w:eastAsia="Arial" w:hAnsi="Arial" w:cs="Arial"/>
          <w:b/>
          <w:i/>
        </w:rPr>
        <w:t xml:space="preserve">any two </w:t>
      </w:r>
      <w:r w:rsidRPr="00470CD5">
        <w:rPr>
          <w:rFonts w:ascii="Arial" w:eastAsia="Arial" w:hAnsi="Arial" w:cs="Arial"/>
        </w:rPr>
        <w:t xml:space="preserve">of the following </w:t>
      </w:r>
      <w:r w:rsidRPr="00470CD5">
        <w:rPr>
          <w:rFonts w:ascii="Arial" w:eastAsia="Arial" w:hAnsi="Arial" w:cs="Arial"/>
        </w:rPr>
        <w:tab/>
      </w:r>
      <w:r w:rsidRPr="00470CD5">
        <w:rPr>
          <w:rFonts w:ascii="Arial" w:eastAsia="Arial" w:hAnsi="Arial" w:cs="Arial"/>
        </w:rPr>
        <w:tab/>
      </w:r>
      <w:r w:rsidRPr="00470CD5">
        <w:rPr>
          <w:rFonts w:ascii="Arial" w:eastAsia="Arial" w:hAnsi="Arial" w:cs="Arial"/>
        </w:rPr>
        <w:tab/>
        <w:t xml:space="preserve">               (</w:t>
      </w:r>
      <w:r w:rsidRPr="00470CD5">
        <w:rPr>
          <w:rFonts w:ascii="Arial" w:eastAsia="Arial" w:hAnsi="Arial" w:cs="Arial"/>
          <w:b/>
        </w:rPr>
        <w:t>15 x 2 = 30 marks)</w:t>
      </w:r>
    </w:p>
    <w:p w14:paraId="760C69FD" w14:textId="77777777" w:rsidR="00D959DD" w:rsidRPr="00470CD5" w:rsidRDefault="00D959DD" w:rsidP="00D95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ind w:left="357" w:hanging="357"/>
        <w:jc w:val="both"/>
        <w:rPr>
          <w:rFonts w:ascii="Arial" w:eastAsia="Arial" w:hAnsi="Arial" w:cs="Arial"/>
          <w:color w:val="000000"/>
        </w:rPr>
      </w:pPr>
      <w:r w:rsidRPr="00470CD5">
        <w:rPr>
          <w:rFonts w:ascii="Arial" w:eastAsia="Arial" w:hAnsi="Arial" w:cs="Arial"/>
          <w:color w:val="000000"/>
        </w:rPr>
        <w:t xml:space="preserve"> Mello purchased an office building on 1st January 20X1. The purchase price was $5.8m, associated lega</w:t>
      </w:r>
      <w:r w:rsidRPr="00470CD5">
        <w:rPr>
          <w:rFonts w:ascii="Arial" w:eastAsia="Arial" w:hAnsi="Arial" w:cs="Arial"/>
        </w:rPr>
        <w:t>l fees were $0.2m and general administrative costs allocated to purchase were $0.4m. Mello also paid sales tax of $1m, which was recovered from the tax authorities. The building was attributed a useful life of 50 years. It was revalued to $9.2 on 31st December 20X4 and was sold for $10 on 31st December 20X5.</w:t>
      </w:r>
    </w:p>
    <w:p w14:paraId="554B03F2" w14:textId="053823AC" w:rsidR="00D959DD" w:rsidRPr="00470CD5" w:rsidRDefault="00D959DD" w:rsidP="00F8238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ind w:left="426"/>
        <w:jc w:val="both"/>
        <w:rPr>
          <w:rFonts w:ascii="Arial" w:eastAsia="Arial" w:hAnsi="Arial" w:cs="Arial"/>
          <w:b/>
        </w:rPr>
      </w:pPr>
      <w:r w:rsidRPr="00470CD5">
        <w:rPr>
          <w:rFonts w:ascii="Arial" w:eastAsia="Arial" w:hAnsi="Arial" w:cs="Arial"/>
        </w:rPr>
        <w:t xml:space="preserve">Mello purchased a machine on 1st January 20X3 for $200,000 and attributed it with a useful life of 20 years. On 1st January 20X5, Mello reduced the estimated remaining useful life to 8 years. Explain how these property, plant and equipment would have been accounted for in all relevant reporting periods up until 31st December 20X5. </w:t>
      </w:r>
    </w:p>
    <w:p w14:paraId="39E350A1" w14:textId="77777777" w:rsidR="00D959DD" w:rsidRPr="00470CD5" w:rsidRDefault="00D959DD" w:rsidP="00D959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jc w:val="both"/>
        <w:rPr>
          <w:rFonts w:ascii="Arial" w:eastAsia="Arial" w:hAnsi="Arial" w:cs="Arial"/>
          <w:b/>
        </w:rPr>
      </w:pPr>
    </w:p>
    <w:p w14:paraId="04158A88" w14:textId="012E459F" w:rsidR="00D959DD" w:rsidRPr="00470CD5" w:rsidRDefault="00D959DD" w:rsidP="00D95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ind w:left="357" w:hanging="357"/>
        <w:jc w:val="both"/>
        <w:rPr>
          <w:rFonts w:ascii="Arial" w:eastAsia="Arial" w:hAnsi="Arial" w:cs="Arial"/>
          <w:b/>
          <w:color w:val="000000"/>
        </w:rPr>
      </w:pPr>
      <w:r w:rsidRPr="00470CD5">
        <w:rPr>
          <w:rFonts w:ascii="Arial" w:eastAsia="Arial" w:hAnsi="Arial" w:cs="Arial"/>
        </w:rPr>
        <w:t>Calculate the carrying amount, Tax base, Temporary difference and conclude whether it is a deferred tax liability or deferred tax assets from the following cases.</w:t>
      </w:r>
    </w:p>
    <w:p w14:paraId="49702FEA" w14:textId="77777777" w:rsidR="00D959DD" w:rsidRPr="00470CD5" w:rsidRDefault="00D959DD" w:rsidP="00D95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jc w:val="both"/>
        <w:rPr>
          <w:rFonts w:ascii="Arial" w:eastAsia="Arial" w:hAnsi="Arial" w:cs="Arial"/>
        </w:rPr>
      </w:pPr>
      <w:r w:rsidRPr="00470CD5">
        <w:rPr>
          <w:rFonts w:ascii="Arial" w:eastAsia="Arial" w:hAnsi="Arial" w:cs="Arial"/>
        </w:rPr>
        <w:t xml:space="preserve">  A building cost $200,000. Depreciation of $36,000 has been charged to date. However tax allowances of $40,000 have been claimed.</w:t>
      </w:r>
    </w:p>
    <w:p w14:paraId="6FEAF9CC" w14:textId="77777777" w:rsidR="00D959DD" w:rsidRPr="00470CD5" w:rsidRDefault="00D959DD" w:rsidP="00D95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470CD5">
        <w:rPr>
          <w:rFonts w:ascii="Arial" w:eastAsia="Arial" w:hAnsi="Arial" w:cs="Arial"/>
        </w:rPr>
        <w:t>Inventory has been written down by $1,000 to $9,000 in the financial statements. The reduction is ignored for tax purposes until the inventory is sold.</w:t>
      </w:r>
    </w:p>
    <w:p w14:paraId="247E067D" w14:textId="77777777" w:rsidR="00D959DD" w:rsidRPr="00470CD5" w:rsidRDefault="00D959DD" w:rsidP="00D95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jc w:val="both"/>
        <w:rPr>
          <w:rFonts w:ascii="Arial" w:eastAsia="Arial" w:hAnsi="Arial" w:cs="Arial"/>
        </w:rPr>
      </w:pPr>
      <w:r w:rsidRPr="00470CD5">
        <w:rPr>
          <w:rFonts w:ascii="Arial" w:eastAsia="Arial" w:hAnsi="Arial" w:cs="Arial"/>
        </w:rPr>
        <w:t>Receivables have a carrying amount of $ 20,000. The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revenue has already been included in taxable profit.</w:t>
      </w:r>
    </w:p>
    <w:p w14:paraId="11CBBB29" w14:textId="77777777" w:rsidR="00D959DD" w:rsidRPr="00470CD5" w:rsidRDefault="00D959DD" w:rsidP="00D95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jc w:val="both"/>
        <w:rPr>
          <w:rFonts w:ascii="Arial" w:eastAsia="Arial" w:hAnsi="Arial" w:cs="Arial"/>
        </w:rPr>
      </w:pPr>
      <w:r w:rsidRPr="00470CD5">
        <w:rPr>
          <w:rFonts w:ascii="Arial" w:eastAsia="Arial" w:hAnsi="Arial" w:cs="Arial"/>
        </w:rPr>
        <w:t>Current liabilities include accrued expenses of $2,000. This is deductible for tax on a cash paid basis.</w:t>
      </w:r>
    </w:p>
    <w:p w14:paraId="4FD7CDE3" w14:textId="77777777" w:rsidR="00D959DD" w:rsidRDefault="00D959DD" w:rsidP="00D95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jc w:val="both"/>
        <w:rPr>
          <w:rFonts w:ascii="Arial" w:eastAsia="Arial" w:hAnsi="Arial" w:cs="Arial"/>
        </w:rPr>
      </w:pPr>
      <w:r w:rsidRPr="00470CD5">
        <w:rPr>
          <w:rFonts w:ascii="Arial" w:eastAsia="Arial" w:hAnsi="Arial" w:cs="Arial"/>
        </w:rPr>
        <w:t>Interest receivable in the statement of financial position is $2,000. The interest will be taxed when received.</w:t>
      </w:r>
    </w:p>
    <w:p w14:paraId="1333DEB7" w14:textId="77777777" w:rsidR="001077B7" w:rsidRDefault="001077B7" w:rsidP="001077B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47F3D6E4" w14:textId="77777777" w:rsidR="001077B7" w:rsidRDefault="001077B7" w:rsidP="001077B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7087BC72" w14:textId="77777777" w:rsidR="001077B7" w:rsidRDefault="001077B7" w:rsidP="001077B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22555687" w14:textId="77777777" w:rsidR="001077B7" w:rsidRPr="00470CD5" w:rsidRDefault="001077B7" w:rsidP="001077B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25026DEF" w14:textId="77777777" w:rsidR="00D959DD" w:rsidRPr="00470CD5" w:rsidRDefault="00D959DD" w:rsidP="00D959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470CD5">
        <w:rPr>
          <w:rFonts w:ascii="Arial" w:eastAsia="Arial" w:hAnsi="Arial" w:cs="Arial"/>
        </w:rPr>
        <w:lastRenderedPageBreak/>
        <w:tab/>
        <w:t xml:space="preserve">** </w:t>
      </w:r>
      <w:r w:rsidRPr="00470CD5">
        <w:rPr>
          <w:rFonts w:ascii="Arial" w:eastAsia="Arial" w:hAnsi="Arial" w:cs="Arial"/>
          <w:b/>
        </w:rPr>
        <w:t>Present your answer in a tabular form as depicted below</w:t>
      </w:r>
    </w:p>
    <w:tbl>
      <w:tblPr>
        <w:tblW w:w="7586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0"/>
        <w:gridCol w:w="1276"/>
        <w:gridCol w:w="1276"/>
        <w:gridCol w:w="1275"/>
        <w:gridCol w:w="2899"/>
      </w:tblGrid>
      <w:tr w:rsidR="00D959DD" w:rsidRPr="00470CD5" w14:paraId="4D906795" w14:textId="77777777" w:rsidTr="00B84BA6">
        <w:tc>
          <w:tcPr>
            <w:tcW w:w="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29A18" w14:textId="77777777" w:rsidR="00D959DD" w:rsidRPr="00470CD5" w:rsidRDefault="00D959DD" w:rsidP="00977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</w:rPr>
            </w:pPr>
            <w:r w:rsidRPr="00470CD5">
              <w:rPr>
                <w:rFonts w:ascii="Arial" w:eastAsia="Arial" w:hAnsi="Arial" w:cs="Arial"/>
              </w:rPr>
              <w:t>Sl. No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7D5B" w14:textId="77777777" w:rsidR="00D959DD" w:rsidRPr="00470CD5" w:rsidRDefault="00D959DD" w:rsidP="00977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</w:rPr>
            </w:pPr>
            <w:r w:rsidRPr="00470CD5">
              <w:rPr>
                <w:rFonts w:ascii="Arial" w:eastAsia="Arial" w:hAnsi="Arial" w:cs="Arial"/>
              </w:rPr>
              <w:t>Carrying amount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C08D0" w14:textId="77777777" w:rsidR="00D959DD" w:rsidRPr="00470CD5" w:rsidRDefault="00D959DD" w:rsidP="00977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</w:rPr>
            </w:pPr>
            <w:r w:rsidRPr="00470CD5">
              <w:rPr>
                <w:rFonts w:ascii="Arial" w:eastAsia="Arial" w:hAnsi="Arial" w:cs="Arial"/>
              </w:rPr>
              <w:t>Tax base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FDF5" w14:textId="77777777" w:rsidR="00D959DD" w:rsidRPr="00470CD5" w:rsidRDefault="00D959DD" w:rsidP="00977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</w:rPr>
            </w:pPr>
            <w:r w:rsidRPr="00470CD5">
              <w:rPr>
                <w:rFonts w:ascii="Arial" w:eastAsia="Arial" w:hAnsi="Arial" w:cs="Arial"/>
              </w:rPr>
              <w:t>Temporary difference</w:t>
            </w:r>
          </w:p>
        </w:tc>
        <w:tc>
          <w:tcPr>
            <w:tcW w:w="2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D9D82" w14:textId="77777777" w:rsidR="00D959DD" w:rsidRPr="00470CD5" w:rsidRDefault="00D959DD" w:rsidP="00977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</w:rPr>
            </w:pPr>
            <w:r w:rsidRPr="00470CD5">
              <w:rPr>
                <w:rFonts w:ascii="Arial" w:eastAsia="Arial" w:hAnsi="Arial" w:cs="Arial"/>
              </w:rPr>
              <w:t>Deferred tax Asset/Deferred tax Liability</w:t>
            </w:r>
          </w:p>
        </w:tc>
      </w:tr>
      <w:tr w:rsidR="00D959DD" w:rsidRPr="00470CD5" w14:paraId="057A5B87" w14:textId="77777777" w:rsidTr="00B84BA6">
        <w:tc>
          <w:tcPr>
            <w:tcW w:w="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936D" w14:textId="77777777" w:rsidR="00D959DD" w:rsidRPr="00470CD5" w:rsidRDefault="00D959DD" w:rsidP="00977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</w:rPr>
            </w:pPr>
            <w:r w:rsidRPr="00470CD5">
              <w:rPr>
                <w:rFonts w:ascii="Arial" w:eastAsia="Arial" w:hAnsi="Arial" w:cs="Arial"/>
              </w:rPr>
              <w:t>(a)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7D57" w14:textId="77777777" w:rsidR="00D959DD" w:rsidRPr="00470CD5" w:rsidRDefault="00D959DD" w:rsidP="00977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B23B0" w14:textId="77777777" w:rsidR="00D959DD" w:rsidRPr="00470CD5" w:rsidRDefault="00D959DD" w:rsidP="00977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C971" w14:textId="77777777" w:rsidR="00D959DD" w:rsidRPr="00470CD5" w:rsidRDefault="00D959DD" w:rsidP="00977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B7DC" w14:textId="77777777" w:rsidR="00D959DD" w:rsidRPr="00470CD5" w:rsidRDefault="00D959DD" w:rsidP="00977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14:paraId="4215ED09" w14:textId="77777777" w:rsidR="00D959DD" w:rsidRPr="00470CD5" w:rsidRDefault="00D959DD" w:rsidP="00D959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ind w:left="1440"/>
        <w:jc w:val="both"/>
        <w:rPr>
          <w:rFonts w:ascii="Arial" w:eastAsia="Arial" w:hAnsi="Arial" w:cs="Arial"/>
        </w:rPr>
      </w:pPr>
    </w:p>
    <w:p w14:paraId="36C19D7A" w14:textId="2167D53F" w:rsidR="00D959DD" w:rsidRPr="00470CD5" w:rsidRDefault="00D959DD" w:rsidP="00D959DD">
      <w:pPr>
        <w:numPr>
          <w:ilvl w:val="0"/>
          <w:numId w:val="3"/>
        </w:numPr>
        <w:tabs>
          <w:tab w:val="center" w:pos="4680"/>
          <w:tab w:val="left" w:pos="6643"/>
        </w:tabs>
        <w:spacing w:after="0" w:line="360" w:lineRule="auto"/>
        <w:jc w:val="both"/>
        <w:rPr>
          <w:rFonts w:ascii="Arial" w:eastAsia="Arial" w:hAnsi="Arial" w:cs="Arial"/>
        </w:rPr>
      </w:pPr>
      <w:r w:rsidRPr="00470CD5">
        <w:rPr>
          <w:rFonts w:ascii="Arial" w:eastAsia="Arial" w:hAnsi="Arial" w:cs="Arial"/>
        </w:rPr>
        <w:t>(a) Explain the contents included in integrated reporting.</w:t>
      </w:r>
    </w:p>
    <w:p w14:paraId="3CC31967" w14:textId="618EE769" w:rsidR="00D959DD" w:rsidRPr="00470CD5" w:rsidRDefault="00D959DD" w:rsidP="00D959DD">
      <w:pPr>
        <w:tabs>
          <w:tab w:val="center" w:pos="4680"/>
          <w:tab w:val="left" w:pos="6643"/>
        </w:tabs>
        <w:spacing w:after="0" w:line="360" w:lineRule="auto"/>
        <w:ind w:left="720"/>
        <w:jc w:val="both"/>
        <w:rPr>
          <w:rFonts w:ascii="Arial" w:eastAsia="Arial" w:hAnsi="Arial" w:cs="Arial"/>
        </w:rPr>
      </w:pPr>
      <w:r w:rsidRPr="00470CD5">
        <w:rPr>
          <w:rFonts w:ascii="Arial" w:eastAsia="Arial" w:hAnsi="Arial" w:cs="Arial"/>
        </w:rPr>
        <w:t>(b) Briefly explain the types, objectives and performance assessment of Not for profit entities.</w:t>
      </w:r>
      <w:r w:rsidRPr="00470CD5">
        <w:rPr>
          <w:rFonts w:ascii="Arial" w:eastAsia="Arial" w:hAnsi="Arial" w:cs="Arial"/>
        </w:rPr>
        <w:tab/>
      </w:r>
      <w:r w:rsidRPr="00470CD5">
        <w:rPr>
          <w:rFonts w:ascii="Arial" w:eastAsia="Arial" w:hAnsi="Arial" w:cs="Arial"/>
        </w:rPr>
        <w:tab/>
      </w:r>
      <w:r w:rsidRPr="00470CD5">
        <w:rPr>
          <w:rFonts w:ascii="Arial" w:eastAsia="Arial" w:hAnsi="Arial" w:cs="Arial"/>
        </w:rPr>
        <w:tab/>
      </w:r>
      <w:bookmarkStart w:id="2" w:name="_Hlk91942317"/>
      <w:r w:rsidR="00F82388">
        <w:rPr>
          <w:rFonts w:ascii="Arial" w:eastAsia="Arial" w:hAnsi="Arial" w:cs="Arial"/>
        </w:rPr>
        <w:tab/>
      </w:r>
      <w:r w:rsidRPr="00470CD5">
        <w:rPr>
          <w:rFonts w:ascii="Arial" w:eastAsia="Arial" w:hAnsi="Arial" w:cs="Arial"/>
        </w:rPr>
        <w:t>(7+8)</w:t>
      </w:r>
      <w:bookmarkEnd w:id="2"/>
    </w:p>
    <w:p w14:paraId="70D9DB58" w14:textId="77777777" w:rsidR="00D959DD" w:rsidRPr="00470CD5" w:rsidRDefault="00D959DD" w:rsidP="00D959DD">
      <w:pPr>
        <w:spacing w:line="360" w:lineRule="auto"/>
        <w:jc w:val="center"/>
        <w:rPr>
          <w:rFonts w:ascii="Arial" w:eastAsia="Arial" w:hAnsi="Arial" w:cs="Arial"/>
          <w:b/>
        </w:rPr>
      </w:pPr>
      <w:r w:rsidRPr="00470CD5">
        <w:rPr>
          <w:rFonts w:ascii="Arial" w:eastAsia="Arial" w:hAnsi="Arial" w:cs="Arial"/>
          <w:b/>
        </w:rPr>
        <w:t>Section D</w:t>
      </w:r>
    </w:p>
    <w:p w14:paraId="70C0A7B7" w14:textId="77777777" w:rsidR="00D959DD" w:rsidRPr="00470CD5" w:rsidRDefault="00D959DD" w:rsidP="00D959DD">
      <w:pPr>
        <w:spacing w:line="360" w:lineRule="auto"/>
        <w:rPr>
          <w:rFonts w:ascii="Arial" w:eastAsia="Arial" w:hAnsi="Arial" w:cs="Arial"/>
          <w:b/>
        </w:rPr>
      </w:pPr>
      <w:r w:rsidRPr="00470CD5">
        <w:rPr>
          <w:rFonts w:ascii="Arial" w:eastAsia="Arial" w:hAnsi="Arial" w:cs="Arial"/>
          <w:b/>
        </w:rPr>
        <w:t xml:space="preserve">III. Answer the following </w:t>
      </w:r>
      <w:r w:rsidRPr="00470CD5">
        <w:rPr>
          <w:rFonts w:ascii="Arial" w:eastAsia="Arial" w:hAnsi="Arial" w:cs="Arial"/>
          <w:b/>
        </w:rPr>
        <w:tab/>
      </w:r>
      <w:r w:rsidRPr="00470CD5">
        <w:rPr>
          <w:rFonts w:ascii="Arial" w:eastAsia="Arial" w:hAnsi="Arial" w:cs="Arial"/>
          <w:b/>
        </w:rPr>
        <w:tab/>
      </w:r>
      <w:r w:rsidRPr="00470CD5">
        <w:rPr>
          <w:rFonts w:ascii="Arial" w:eastAsia="Arial" w:hAnsi="Arial" w:cs="Arial"/>
          <w:b/>
        </w:rPr>
        <w:tab/>
      </w:r>
      <w:r w:rsidRPr="00470CD5">
        <w:rPr>
          <w:rFonts w:ascii="Arial" w:eastAsia="Arial" w:hAnsi="Arial" w:cs="Arial"/>
          <w:b/>
        </w:rPr>
        <w:tab/>
      </w:r>
      <w:r w:rsidRPr="00470CD5">
        <w:rPr>
          <w:rFonts w:ascii="Arial" w:eastAsia="Arial" w:hAnsi="Arial" w:cs="Arial"/>
          <w:b/>
        </w:rPr>
        <w:tab/>
        <w:t xml:space="preserve">                   </w:t>
      </w:r>
      <w:r w:rsidRPr="00470CD5">
        <w:rPr>
          <w:rFonts w:ascii="Arial" w:eastAsia="Arial" w:hAnsi="Arial" w:cs="Arial"/>
          <w:b/>
        </w:rPr>
        <w:tab/>
        <w:t>(15marks)</w:t>
      </w:r>
    </w:p>
    <w:p w14:paraId="29EF1549" w14:textId="48882E7F" w:rsidR="00D959DD" w:rsidRPr="001753DE" w:rsidRDefault="00D959DD" w:rsidP="001753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jc w:val="both"/>
        <w:rPr>
          <w:rFonts w:ascii="Arial" w:eastAsia="Arial" w:hAnsi="Arial" w:cs="Arial"/>
        </w:rPr>
      </w:pPr>
      <w:r w:rsidRPr="00470CD5">
        <w:rPr>
          <w:rFonts w:ascii="Arial" w:eastAsia="Arial" w:hAnsi="Arial" w:cs="Arial"/>
        </w:rPr>
        <w:t xml:space="preserve">(a) </w:t>
      </w:r>
      <w:r w:rsidR="001753DE" w:rsidRPr="001753DE">
        <w:rPr>
          <w:rFonts w:ascii="Arial" w:eastAsia="Arial" w:hAnsi="Arial" w:cs="Arial"/>
        </w:rPr>
        <w:t>The following material events have occurred after the reporting period and prior to the date of approval of the financial statements by the directors.</w:t>
      </w:r>
      <w:r w:rsidR="001753DE">
        <w:rPr>
          <w:rFonts w:ascii="Arial" w:eastAsia="Arial" w:hAnsi="Arial" w:cs="Arial"/>
        </w:rPr>
        <w:t xml:space="preserve"> </w:t>
      </w:r>
      <w:r w:rsidRPr="001753DE">
        <w:rPr>
          <w:rFonts w:ascii="Arial" w:eastAsia="Arial" w:hAnsi="Arial" w:cs="Arial"/>
        </w:rPr>
        <w:t>State whether the following are adjusting or non-adjusting event</w:t>
      </w:r>
    </w:p>
    <w:p w14:paraId="54106A75" w14:textId="77777777" w:rsidR="00D959DD" w:rsidRPr="00470CD5" w:rsidRDefault="00D959DD" w:rsidP="00D959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ind w:left="720"/>
        <w:jc w:val="both"/>
        <w:rPr>
          <w:rFonts w:ascii="Arial" w:eastAsia="Arial" w:hAnsi="Arial" w:cs="Arial"/>
        </w:rPr>
      </w:pPr>
      <w:r w:rsidRPr="00470CD5">
        <w:rPr>
          <w:rFonts w:ascii="Arial" w:eastAsia="Arial" w:hAnsi="Arial" w:cs="Arial"/>
        </w:rPr>
        <w:t>(</w:t>
      </w:r>
      <w:proofErr w:type="spellStart"/>
      <w:r w:rsidRPr="00470CD5">
        <w:rPr>
          <w:rFonts w:ascii="Arial" w:eastAsia="Arial" w:hAnsi="Arial" w:cs="Arial"/>
        </w:rPr>
        <w:t>i</w:t>
      </w:r>
      <w:proofErr w:type="spellEnd"/>
      <w:r w:rsidRPr="00470CD5">
        <w:rPr>
          <w:rFonts w:ascii="Arial" w:eastAsia="Arial" w:hAnsi="Arial" w:cs="Arial"/>
        </w:rPr>
        <w:t>) The insolvency of a major credit customer</w:t>
      </w:r>
    </w:p>
    <w:p w14:paraId="14D0FBA6" w14:textId="77777777" w:rsidR="00D959DD" w:rsidRPr="00470CD5" w:rsidRDefault="00D959DD" w:rsidP="00D959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ind w:left="720"/>
        <w:jc w:val="both"/>
        <w:rPr>
          <w:rFonts w:ascii="Arial" w:eastAsia="Arial" w:hAnsi="Arial" w:cs="Arial"/>
        </w:rPr>
      </w:pPr>
      <w:r w:rsidRPr="00470CD5">
        <w:rPr>
          <w:rFonts w:ascii="Arial" w:eastAsia="Arial" w:hAnsi="Arial" w:cs="Arial"/>
        </w:rPr>
        <w:t>(ii) The uninsured loss of inventory in a fire</w:t>
      </w:r>
    </w:p>
    <w:p w14:paraId="3052CD6C" w14:textId="77777777" w:rsidR="00D959DD" w:rsidRPr="00470CD5" w:rsidRDefault="00D959DD" w:rsidP="00D959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ind w:left="720"/>
        <w:jc w:val="both"/>
        <w:rPr>
          <w:rFonts w:ascii="Arial" w:eastAsia="Arial" w:hAnsi="Arial" w:cs="Arial"/>
        </w:rPr>
      </w:pPr>
      <w:r w:rsidRPr="00470CD5">
        <w:rPr>
          <w:rFonts w:ascii="Arial" w:eastAsia="Arial" w:hAnsi="Arial" w:cs="Arial"/>
        </w:rPr>
        <w:t>(iii) The proposal of a final equity dividend</w:t>
      </w:r>
    </w:p>
    <w:p w14:paraId="739F71F6" w14:textId="77777777" w:rsidR="00D959DD" w:rsidRPr="00470CD5" w:rsidRDefault="00D959DD" w:rsidP="00D959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ind w:left="720"/>
        <w:jc w:val="both"/>
        <w:rPr>
          <w:rFonts w:ascii="Arial" w:eastAsia="Arial" w:hAnsi="Arial" w:cs="Arial"/>
        </w:rPr>
      </w:pPr>
      <w:r w:rsidRPr="00470CD5">
        <w:rPr>
          <w:rFonts w:ascii="Arial" w:eastAsia="Arial" w:hAnsi="Arial" w:cs="Arial"/>
        </w:rPr>
        <w:t>(iv) A change in foreign exchange rates.</w:t>
      </w:r>
      <w:r w:rsidRPr="00470CD5">
        <w:rPr>
          <w:rFonts w:ascii="Arial" w:eastAsia="Arial" w:hAnsi="Arial" w:cs="Arial"/>
        </w:rPr>
        <w:tab/>
      </w:r>
    </w:p>
    <w:p w14:paraId="2806377A" w14:textId="77777777" w:rsidR="00F82388" w:rsidRDefault="00F82388" w:rsidP="001753D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ind w:left="851"/>
        <w:jc w:val="both"/>
        <w:rPr>
          <w:rFonts w:ascii="Arial" w:eastAsia="Arial" w:hAnsi="Arial" w:cs="Arial"/>
        </w:rPr>
      </w:pPr>
    </w:p>
    <w:p w14:paraId="46E3E061" w14:textId="42509238" w:rsidR="00D959DD" w:rsidRPr="00470CD5" w:rsidRDefault="00D959DD" w:rsidP="001753D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ind w:left="851"/>
        <w:jc w:val="both"/>
        <w:rPr>
          <w:rFonts w:ascii="Arial" w:eastAsia="Arial" w:hAnsi="Arial" w:cs="Arial"/>
        </w:rPr>
      </w:pPr>
      <w:r w:rsidRPr="00470CD5">
        <w:rPr>
          <w:rFonts w:ascii="Arial" w:eastAsia="Arial" w:hAnsi="Arial" w:cs="Arial"/>
        </w:rPr>
        <w:t>(b) On 1st January 20X1, Priority acquired a property for $400,000 with an expected life of 50 years. On 31st December 20X4 Priority put the building up for immediate sale. Costs to sell the property are estimated at $20,000. Discuss the accounting treatment in this case if the property had a fair value at 31st December 20X4 as:</w:t>
      </w:r>
    </w:p>
    <w:p w14:paraId="2F23C660" w14:textId="77777777" w:rsidR="00D959DD" w:rsidRPr="00470CD5" w:rsidRDefault="00D959DD" w:rsidP="001753D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ind w:left="851"/>
        <w:jc w:val="both"/>
        <w:rPr>
          <w:rFonts w:ascii="Arial" w:eastAsia="Arial" w:hAnsi="Arial" w:cs="Arial"/>
        </w:rPr>
      </w:pPr>
      <w:r w:rsidRPr="00470CD5">
        <w:rPr>
          <w:rFonts w:ascii="Arial" w:eastAsia="Arial" w:hAnsi="Arial" w:cs="Arial"/>
        </w:rPr>
        <w:t>(</w:t>
      </w:r>
      <w:proofErr w:type="spellStart"/>
      <w:r w:rsidRPr="00470CD5">
        <w:rPr>
          <w:rFonts w:ascii="Arial" w:eastAsia="Arial" w:hAnsi="Arial" w:cs="Arial"/>
        </w:rPr>
        <w:t>i</w:t>
      </w:r>
      <w:proofErr w:type="spellEnd"/>
      <w:r w:rsidRPr="00470CD5">
        <w:rPr>
          <w:rFonts w:ascii="Arial" w:eastAsia="Arial" w:hAnsi="Arial" w:cs="Arial"/>
        </w:rPr>
        <w:t>) $ 220,000</w:t>
      </w:r>
    </w:p>
    <w:p w14:paraId="0A7E2240" w14:textId="77777777" w:rsidR="00D959DD" w:rsidRPr="00470CD5" w:rsidRDefault="00D959DD" w:rsidP="001753D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ind w:left="851"/>
        <w:jc w:val="both"/>
        <w:rPr>
          <w:rFonts w:ascii="Arial" w:eastAsia="Arial" w:hAnsi="Arial" w:cs="Arial"/>
        </w:rPr>
      </w:pPr>
      <w:r w:rsidRPr="00470CD5">
        <w:rPr>
          <w:rFonts w:ascii="Arial" w:eastAsia="Arial" w:hAnsi="Arial" w:cs="Arial"/>
        </w:rPr>
        <w:t>(ii) $ 110,000</w:t>
      </w:r>
    </w:p>
    <w:p w14:paraId="1CC8AF29" w14:textId="77777777" w:rsidR="00F82388" w:rsidRDefault="00F82388" w:rsidP="001753D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ind w:left="993" w:hanging="284"/>
        <w:jc w:val="both"/>
        <w:rPr>
          <w:rFonts w:ascii="Arial" w:eastAsia="Arial" w:hAnsi="Arial" w:cs="Arial"/>
        </w:rPr>
      </w:pPr>
    </w:p>
    <w:p w14:paraId="23F4AEC5" w14:textId="118B0197" w:rsidR="00D959DD" w:rsidRPr="00470CD5" w:rsidRDefault="00D959DD" w:rsidP="001753D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ind w:left="993" w:hanging="284"/>
        <w:jc w:val="both"/>
        <w:rPr>
          <w:rFonts w:ascii="Arial" w:eastAsia="Arial" w:hAnsi="Arial" w:cs="Arial"/>
          <w:b/>
        </w:rPr>
      </w:pPr>
      <w:r w:rsidRPr="00470CD5">
        <w:rPr>
          <w:rFonts w:ascii="Arial" w:eastAsia="Arial" w:hAnsi="Arial" w:cs="Arial"/>
        </w:rPr>
        <w:t>(c) What is management commentary and what are the elements of management commentary?</w:t>
      </w:r>
    </w:p>
    <w:p w14:paraId="7CE173E9" w14:textId="77777777" w:rsidR="00D959DD" w:rsidRPr="00470CD5" w:rsidRDefault="00D959DD" w:rsidP="00F8238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360" w:lineRule="auto"/>
        <w:jc w:val="right"/>
        <w:rPr>
          <w:rFonts w:ascii="Arial" w:eastAsia="Arial" w:hAnsi="Arial" w:cs="Arial"/>
        </w:rPr>
      </w:pPr>
      <w:r w:rsidRPr="00470CD5">
        <w:rPr>
          <w:rFonts w:ascii="Arial" w:eastAsia="Arial" w:hAnsi="Arial" w:cs="Arial"/>
        </w:rPr>
        <w:tab/>
      </w:r>
      <w:r w:rsidRPr="00470CD5">
        <w:rPr>
          <w:rFonts w:ascii="Arial" w:eastAsia="Arial" w:hAnsi="Arial" w:cs="Arial"/>
        </w:rPr>
        <w:tab/>
      </w:r>
      <w:r w:rsidRPr="00470CD5">
        <w:rPr>
          <w:rFonts w:ascii="Arial" w:eastAsia="Arial" w:hAnsi="Arial" w:cs="Arial"/>
        </w:rPr>
        <w:tab/>
        <w:t>(2+8+5)</w:t>
      </w:r>
    </w:p>
    <w:sectPr w:rsidR="00D959DD" w:rsidRPr="00470CD5">
      <w:headerReference w:type="default" r:id="rId8"/>
      <w:footerReference w:type="default" r:id="rId9"/>
      <w:pgSz w:w="11906" w:h="16838"/>
      <w:pgMar w:top="851" w:right="1440" w:bottom="567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58EAC" w14:textId="77777777" w:rsidR="00B26DEA" w:rsidRDefault="00B26DEA" w:rsidP="00876B38">
      <w:pPr>
        <w:spacing w:after="0" w:line="240" w:lineRule="auto"/>
      </w:pPr>
      <w:r>
        <w:separator/>
      </w:r>
    </w:p>
  </w:endnote>
  <w:endnote w:type="continuationSeparator" w:id="0">
    <w:p w14:paraId="2F20CA0B" w14:textId="77777777" w:rsidR="00B26DEA" w:rsidRDefault="00B26DEA" w:rsidP="0087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6E672" w14:textId="6880DCE2" w:rsidR="00876B38" w:rsidRDefault="001112EE">
    <w:pPr>
      <w:pStyle w:val="Footer"/>
    </w:pPr>
    <w:r>
      <w:ptab w:relativeTo="margin" w:alignment="center" w:leader="none"/>
    </w:r>
    <w:r>
      <w:ptab w:relativeTo="margin" w:alignment="right" w:leader="none"/>
    </w:r>
    <w:r w:rsidRPr="00470CD5">
      <w:rPr>
        <w:rFonts w:ascii="Arial" w:eastAsia="Arial" w:hAnsi="Arial" w:cs="Arial"/>
        <w:b/>
        <w:u w:val="single"/>
      </w:rPr>
      <w:t>BCIFA-5119</w:t>
    </w:r>
    <w:r>
      <w:rPr>
        <w:rFonts w:ascii="Arial" w:eastAsia="Arial" w:hAnsi="Arial" w:cs="Arial"/>
        <w:b/>
        <w:u w:val="single"/>
      </w:rPr>
      <w:t>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1C688" w14:textId="77777777" w:rsidR="00B26DEA" w:rsidRDefault="00B26DEA" w:rsidP="00876B38">
      <w:pPr>
        <w:spacing w:after="0" w:line="240" w:lineRule="auto"/>
      </w:pPr>
      <w:r>
        <w:separator/>
      </w:r>
    </w:p>
  </w:footnote>
  <w:footnote w:type="continuationSeparator" w:id="0">
    <w:p w14:paraId="3807E886" w14:textId="77777777" w:rsidR="00B26DEA" w:rsidRDefault="00B26DEA" w:rsidP="0087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1441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08052B" w14:textId="2A767598" w:rsidR="001112EE" w:rsidRDefault="001112E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7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C9C022" w14:textId="77777777" w:rsidR="001112EE" w:rsidRDefault="001112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14A07"/>
    <w:multiLevelType w:val="hybridMultilevel"/>
    <w:tmpl w:val="56D6C314"/>
    <w:lvl w:ilvl="0" w:tplc="BBCC0BC2">
      <w:start w:val="2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26646"/>
    <w:multiLevelType w:val="multilevel"/>
    <w:tmpl w:val="76A6200A"/>
    <w:lvl w:ilvl="0">
      <w:start w:val="1"/>
      <w:numFmt w:val="lowerLetter"/>
      <w:lvlText w:val="(%1)"/>
      <w:lvlJc w:val="left"/>
      <w:pPr>
        <w:ind w:left="1440" w:hanging="360"/>
      </w:pPr>
      <w:rPr>
        <w:b w:val="0"/>
        <w:bCs/>
        <w:u w:val="none"/>
      </w:rPr>
    </w:lvl>
    <w:lvl w:ilvl="1">
      <w:start w:val="1"/>
      <w:numFmt w:val="lowerRoman"/>
      <w:lvlText w:val="(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4EFB2E44"/>
    <w:multiLevelType w:val="multilevel"/>
    <w:tmpl w:val="554E26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6BC653DF"/>
    <w:multiLevelType w:val="multilevel"/>
    <w:tmpl w:val="CCC097B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DD"/>
    <w:rsid w:val="000859C4"/>
    <w:rsid w:val="001077B7"/>
    <w:rsid w:val="001112EE"/>
    <w:rsid w:val="001506F9"/>
    <w:rsid w:val="001753DE"/>
    <w:rsid w:val="00380AD8"/>
    <w:rsid w:val="00876B38"/>
    <w:rsid w:val="008774DA"/>
    <w:rsid w:val="008F7805"/>
    <w:rsid w:val="00B26DEA"/>
    <w:rsid w:val="00B33A50"/>
    <w:rsid w:val="00B84BA6"/>
    <w:rsid w:val="00BE232D"/>
    <w:rsid w:val="00BF26B7"/>
    <w:rsid w:val="00D16CE9"/>
    <w:rsid w:val="00D959DD"/>
    <w:rsid w:val="00DF0987"/>
    <w:rsid w:val="00F82388"/>
    <w:rsid w:val="00F9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E53E"/>
  <w15:chartTrackingRefBased/>
  <w15:docId w15:val="{726A1E6D-B6F3-4B1F-AD34-4E701206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9DD"/>
    <w:pPr>
      <w:spacing w:after="200" w:line="276" w:lineRule="auto"/>
    </w:pPr>
    <w:rPr>
      <w:rFonts w:ascii="Cambria" w:eastAsia="Cambria" w:hAnsi="Cambria" w:cs="Cambria"/>
      <w:sz w:val="22"/>
      <w:szCs w:val="22"/>
      <w:lang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95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959DD"/>
    <w:rPr>
      <w:rFonts w:ascii="Times New Roman" w:eastAsia="Times New Roman" w:hAnsi="Times New Roman" w:cs="Times New Roman"/>
      <w:b/>
      <w:bCs/>
      <w:lang w:val="en-US" w:bidi="ta-IN"/>
    </w:rPr>
  </w:style>
  <w:style w:type="paragraph" w:styleId="ListParagraph">
    <w:name w:val="List Paragraph"/>
    <w:basedOn w:val="Normal"/>
    <w:uiPriority w:val="34"/>
    <w:qFormat/>
    <w:rsid w:val="001753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38"/>
    <w:rPr>
      <w:rFonts w:ascii="Cambria" w:eastAsia="Cambria" w:hAnsi="Cambria" w:cs="Cambria"/>
      <w:sz w:val="22"/>
      <w:szCs w:val="22"/>
      <w:lang w:eastAsia="en-IN" w:bidi="ta-IN"/>
    </w:rPr>
  </w:style>
  <w:style w:type="paragraph" w:styleId="Footer">
    <w:name w:val="footer"/>
    <w:basedOn w:val="Normal"/>
    <w:link w:val="FooterChar"/>
    <w:uiPriority w:val="99"/>
    <w:unhideWhenUsed/>
    <w:rsid w:val="00876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38"/>
    <w:rPr>
      <w:rFonts w:ascii="Cambria" w:eastAsia="Cambria" w:hAnsi="Cambria" w:cs="Cambria"/>
      <w:sz w:val="22"/>
      <w:szCs w:val="22"/>
      <w:lang w:eastAsia="en-I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fathimajfarzana@gmail.com</dc:creator>
  <cp:keywords/>
  <dc:description/>
  <cp:lastModifiedBy>LIBDL-13</cp:lastModifiedBy>
  <cp:revision>13</cp:revision>
  <dcterms:created xsi:type="dcterms:W3CDTF">2022-01-01T08:58:00Z</dcterms:created>
  <dcterms:modified xsi:type="dcterms:W3CDTF">2022-07-04T06:23:00Z</dcterms:modified>
</cp:coreProperties>
</file>